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 IRG — Grundsätzliche Pflicht zur Bewilligung</w:t>
      </w:r>
    </w:p>
    <w:p>
      <w:r>
        <w:rPr>
          <w:color w:val="555555"/>
          <w:sz w:val="18"/>
        </w:rPr>
        <w:t xml:space="preserve">Gesetz über die internationale Rechtshilfe in Strafsachen</w:t>
      </w:r>
    </w:p>
    <w:p>
      <w:r>
        <w:rPr>
          <w:color w:val="555555"/>
          <w:sz w:val="18"/>
        </w:rPr>
        <w:t xml:space="preserve">Stand: 10.12.2019 (konsolidierte Textfassung, kein amtliches Inkrafttretensdatum)</w:t>
      </w:r>
    </w:p>
    <w:p>
      <w:r>
        <w:t xml:space="preserve">Zulässige Ersuchen der Republik Island und des Königreichs Norwegen um Auslieferung oder Durchlieferung eines Ausländers können nur abgelehnt werden, soweit dies in diesem Teil oder in den übrigen anwendbaren Bestimmungen dieses Gesetzes vorgesehen ist.</w:t>
      </w:r>
    </w:p>
    <w:p>
      <w:r>
        <w:rPr>
          <w:color w:val="555555"/>
          <w:sz w:val="17"/>
        </w:rPr>
        <w:t xml:space="preserve">Zitiervorschlag: § 99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