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97b IRG — Übermittlung personenbezogener Daten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Für die Übermittlung personenbezogener Daten gilt § 77d mit der Maßgabe, dass keine Anwendung finden dessen</w:t>
      </w:r>
    </w:p>
    <w:p>
      <w:pPr>
        <w:ind w:left="420"/>
      </w:pPr>
      <w:r>
        <w:t xml:space="preserve">1. Absatz 1 Nummer 2, auch in Verbindung mit Absatz 3 und § 77e Absatz 1 Nummer 7,</w:t>
      </w:r>
    </w:p>
    <w:p>
      <w:pPr>
        <w:ind w:left="420"/>
      </w:pPr>
      <w:r>
        <w:t xml:space="preserve">2. Absatz 1 Nummer 3, auch in Verbindung mit Absatz 4 und § 77e Absatz 1 Nummer 4, und</w:t>
      </w:r>
    </w:p>
    <w:p>
      <w:pPr>
        <w:ind w:left="420"/>
      </w:pPr>
      <w:r>
        <w:t xml:space="preserve">3. Absatz 1 Nummer 4 in Verbindung mit § 77f.</w:t>
      </w:r>
    </w:p>
    <w:p>
      <w:r>
        <w:rPr>
          <w:color w:val="555555"/>
          <w:sz w:val="17"/>
        </w:rPr>
        <w:t xml:space="preserve">Zitiervorschlag: § 97b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