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97a IRG — Anwendungsbereich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Die Vorschriften dieses Teils sind anzuwenden auf personenbezogene Daten, die an Mitgliedstaaten der Europäischen Union, für die die Richtlinie (EU) 2016/680 gilt, oder an Organe, Einrichtungen, Ämter und Agenturen der Europäischen Union übermittelt oder von diesen empfangen werden.</w:t>
      </w:r>
    </w:p>
    <w:p>
      <w:r>
        <w:t xml:space="preserve">(2) Schengen-assoziierte Staaten stehen den in Absatz 1 genannten Mitgliedstaaten der Europäischen Union bei der Anwendung dieses Teils gleich.</w:t>
      </w:r>
    </w:p>
    <w:p>
      <w:r>
        <w:t xml:space="preserve">(3) Soweit dieser Teil keine besonderen Regelungen enthält, sind die Bestimmungen des Abschnitts 2 des Siebenten Teils anzuwenden.</w:t>
      </w:r>
    </w:p>
    <w:p>
      <w:r>
        <w:rPr>
          <w:color w:val="555555"/>
          <w:sz w:val="17"/>
        </w:rPr>
        <w:t xml:space="preserve">Zitiervorschlag: § 97a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https://recht.nulegal.eu/gesetze/IRG/97a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