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96d IRG — Rechtsbehelf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19.12.2020 (konsolidierte Textfassung, kein amtliches Inkrafttretensdatum)</w:t>
      </w:r>
    </w:p>
    <w:p>
      <w:r>
        <w:t xml:space="preserve">(1) Betroffene können nach Maßgabe des Artikels 33 der Verordnung Sicherstellung und Einziehung gegen die Entscheidung über die Anerkennung und Vollstreckung der Sicherstellungs- oder Einziehungsentscheidung sofortige Beschwerde einlegen.</w:t>
      </w:r>
    </w:p>
    <w:p>
      <w:r>
        <w:t xml:space="preserve">(2) Richtet sich die sofortige Beschwerde gegen die Entscheidung eines Landgerichts, so gilt für das weitere Verfahren § 42 entsprechend.</w:t>
      </w:r>
    </w:p>
    <w:p>
      <w:r>
        <w:rPr>
          <w:color w:val="555555"/>
          <w:sz w:val="17"/>
        </w:rPr>
        <w:t xml:space="preserve">Zitiervorschlag: § 96d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https://recht.nulegal.eu/gesetze/IRG/96d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