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96a IRG — Grundsatz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19.12.2020 (konsolidierte Textfassung, kein amtliches Inkrafttretensdatum)</w:t>
      </w:r>
    </w:p>
    <w:p>
      <w:r>
        <w:t xml:space="preserve">Soweit dieser Teil keine besonderen Regelungen enthält, ist § 77 anzuwenden.</w:t>
      </w:r>
    </w:p>
    <w:p>
      <w:r>
        <w:rPr>
          <w:color w:val="555555"/>
          <w:sz w:val="17"/>
        </w:rPr>
        <w:t xml:space="preserve">Zitiervorschlag: § 96a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