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92f IRG — Ausgehende Ersuchen um Übermittlung von Informationen einschließlich personenbezogener Daten von benannten Strafverfolgungsbehörden an eine zentrale Kontaktstelle eines anderen Mitgliedstaates der Europäischen Union</w:t>
      </w:r>
    </w:p>
    <w:p>
      <w:r>
        <w:rPr>
          <w:color w:val="555555"/>
          <w:sz w:val="18"/>
        </w:rPr>
        <w:t xml:space="preserve">Gesetz über die internationale Rechtshilfe in Strafsachen</w:t>
      </w:r>
    </w:p>
    <w:p>
      <w:r>
        <w:rPr>
          <w:color w:val="555555"/>
          <w:sz w:val="18"/>
        </w:rPr>
        <w:t xml:space="preserve">Stand: 14.03.2026 (konsolidierte Textfassung, kein amtliches Inkrafttretensdatum)</w:t>
      </w:r>
    </w:p>
    <w:p>
      <w:r>
        <w:t xml:space="preserve">(1) Die nach Maßgabe von Artikel 4 Absatz 1 Unterabsatz 2 der Richtlinie (EU) 2023/977 benannten Strafverfolgungsbehörden dürfen Ersuchen um Übermittlung von Informationen einschließlich personenbezogener Daten an eine nach Artikel 14 der Richtlinie (EU) 2023/977 benannte zentrale Kontaktstelle eines anderen Mitgliedstaates der Europäischen Union zum Zweck der Verfolgung von Straftaten richten.</w:t>
      </w:r>
    </w:p>
    <w:p>
      <w:r>
        <w:t xml:space="preserve">(2) Ein Ersuchen nach Absatz 1 setzt objektive Anhaltspunkte dafür voraus, dass</w:t>
      </w:r>
    </w:p>
    <w:p>
      <w:pPr>
        <w:ind w:left="420"/>
      </w:pPr>
      <w:r>
        <w:t xml:space="preserve">1. die Erhebung der Information zum Zweck der Verfolgung einer Straftat erforderlich und verhältnismäßig ist und</w:t>
      </w:r>
    </w:p>
    <w:p>
      <w:pPr>
        <w:ind w:left="420"/>
      </w:pPr>
      <w:r>
        <w:t xml:space="preserve">2. die angeforderten Informationen dem anderen Mitgliedstaat der Europäischen Union zur Verfügung stehen.</w:t>
      </w:r>
    </w:p>
    <w:p>
      <w:r>
        <w:t xml:space="preserve">(3) Bei einem Ersuchen nach Absatz 1 ist anzugeben, ob das Ersuchen dringend ist, und bei Dringlichkeit sind die Gründe für diese zu nennen. Ein Informationsersuchen gilt als dringend, wenn unter Berücksichtigung aller relevanten Tatsachen und Umstände des betreffenden Sachverhalts objektive Anhaltspunkte dafür vorliegen, dass</w:t>
      </w:r>
    </w:p>
    <w:p>
      <w:pPr>
        <w:ind w:left="420"/>
      </w:pPr>
      <w:r>
        <w:t xml:space="preserve">1. die angeforderten Informationen unerlässlich sind zur Abwehr einer unmittelbaren und ernsthaften Gefahr für die öffentliche Sicherheit eines Mitgliedstaates der Europäischen Union,</w:t>
      </w:r>
    </w:p>
    <w:p>
      <w:pPr>
        <w:ind w:left="420"/>
      </w:pPr>
      <w:r>
        <w:t xml:space="preserve">2. die angeforderten Informationen erforderlich sind, um eine unmittelbare Gefahr für das Leben oder die körperliche Unversehrtheit einer Person abzuwenden,</w:t>
      </w:r>
    </w:p>
    <w:p>
      <w:pPr>
        <w:ind w:left="420"/>
      </w:pPr>
      <w:r>
        <w:t xml:space="preserve">3. die angeforderten Informationen erforderlich sind für den Erlass eines Beschlusses, der die Aufrechterhaltung restriktiver Maßnahmen bis hin zu einem Freiheitsentzug umfassen könnte, oder</w:t>
      </w:r>
    </w:p>
    <w:p>
      <w:pPr>
        <w:ind w:left="420"/>
      </w:pPr>
      <w:r>
        <w:t xml:space="preserve">4. die unmittelbare Gefahr besteht, dass die Informationen an Relevanz verlieren, wenn sie nicht umgehend zur Verfügung gestellt werden, und die Informationen als wichtig für die Untersuchung von Straftaten anzusehen sind.</w:t>
      </w:r>
    </w:p>
    <w:p>
      <w:r>
        <w:t xml:space="preserve">(4) Das Ersuchen nach Absatz 1 muss die in § 92a Nummer 2 bis 8 genannten Angaben enthalten.</w:t>
      </w:r>
    </w:p>
    <w:p>
      <w:r>
        <w:t xml:space="preserve">(5) Die Regelungen des § 3 des Bundeskriminalamtgesetzes über den internationalen Dienstverkehr der Polizeien des Bundes und der Länder bleiben unberührt.</w:t>
      </w:r>
    </w:p>
    <w:p>
      <w:r>
        <w:t xml:space="preserve">(6) Ein Ersuchen nach Absatz 1 ist in einer der Sprachen zu übermitteln, die in der von diesem anderen Mitgliedstaat der Europäischen Union gemäß Artikel 11 erstellten Liste aufgeführt sind.</w:t>
      </w:r>
    </w:p>
    <w:p>
      <w:r>
        <w:t xml:space="preserve">(7) Eine Kopie eines Ersuchens nach Absatz 1 wird auch der für die Bundesrepublik Deutschland nach Artikel 14 der Richtlinie (EU) 2023/977 benannten zentralen Kontaktstelle übermittelt.</w:t>
      </w:r>
    </w:p>
    <w:p>
      <w:r>
        <w:rPr>
          <w:color w:val="555555"/>
          <w:sz w:val="17"/>
        </w:rPr>
        <w:t xml:space="preserve">Zitiervorschlag: § 92f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https://recht.nulegal.eu/gesetze/IRG/92f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