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92c IRG — Zusammenarbeit mit zentralen Kontaktstellen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Nach § 92 übermittelte Informationen werden in Kopie auch der für die Bundesrepublik Deutschland benannten nationalen zentralen Kontaktstelle übermittelt. Wenn die nach § 92 ersuchten Informationen zur Beantwortung nicht der nach Artikel 14 der Richtlinie (EU) 2023/977 benannten zentralen Kontaktstelle des ersuchenden Mitgliedstaates der Europäischen Union übermittelt wurden, wird auch dieser zentralen Kontaktstelle eine Kopie der Informationen übermittelt.</w:t>
      </w:r>
    </w:p>
    <w:p>
      <w:r>
        <w:t xml:space="preserve">(2) Die Übermittlung an die zentrale Kontaktstelle des ersuchenden Mitgliedstaates der Europäischen Union nach Absatz 1 Satz 2 unterbleibt, wenn dadurch Folgendes gefährdet würde:</w:t>
      </w:r>
    </w:p>
    <w:p>
      <w:pPr>
        <w:ind w:left="420"/>
      </w:pPr>
      <w:r>
        <w:t xml:space="preserve">1. eine laufende hochsensible Ermittlung, bei der die Verarbeitung von Informationen ein angemessenes Maß an Vertraulichkeit erfordert,</w:t>
      </w:r>
    </w:p>
    <w:p>
      <w:pPr>
        <w:ind w:left="420"/>
      </w:pPr>
      <w:r>
        <w:t xml:space="preserve">2. Ermittlungen zu Terrorismusfällen, bei denen es sich nicht um Not- oder Krisenmanagementsituationen handelt, oder</w:t>
      </w:r>
    </w:p>
    <w:p>
      <w:pPr>
        <w:ind w:left="420"/>
      </w:pPr>
      <w:r>
        <w:t xml:space="preserve">3. die Sicherheit einer oder mehrerer Personen.</w:t>
      </w:r>
    </w:p>
    <w:p>
      <w:r>
        <w:rPr>
          <w:color w:val="555555"/>
          <w:sz w:val="17"/>
        </w:rPr>
        <w:t xml:space="preserve">Zitiervorschlag: § 92c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