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91j IRG — Ausgehende Ersuchen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Für ausgehende Ersuchen ist das in Anhang A oder in Anhang C der Richtlinie Europäische Ermittlungsanordnung wiedergegebene Formblatt in der jeweils gültigen Fassung zu verwenden.</w:t>
      </w:r>
    </w:p>
    <w:p>
      <w:r>
        <w:t xml:space="preserve">(2) Wird ein Ersuchen in einem Verfahren nach § 1 Absatz 2 von einer Verwaltungsbehörde gestellt, ist das Ersuchen vor der Übermittlung an den ersuchten Mitgliedstaat der Staatsanwaltschaft zur Bestätigung unter Abschnitt L des Formblattes aus Anhang A der Richtlinie Europäische Ermittlungsanordnung vorzulegen. Örtlich zuständig ist die Staatsanwaltschaft bei dem Landgericht, in dessen Bezirk die Verwaltungsbehörde ihren Sitz hat. Die Länder können die Zuständigkeit nach Satz 1 einem Gericht zuweisen oder die örtliche Zuständigkeit nach Satz 2 abweichend regeln.</w:t>
      </w:r>
    </w:p>
    <w:p>
      <w:r>
        <w:t xml:space="preserve">(3) Die Bestätigung nach Absatz 2 erfolgt, nachdem die Staatsanwaltschaft oder das nach Absatz 2 Satz 3 bestimmte Gericht festgestellt hat, dass die Voraussetzungen für den Erlass des Ersuchens vorliegen, insbesondere dass</w:t>
      </w:r>
    </w:p>
    <w:p>
      <w:pPr>
        <w:ind w:left="420"/>
      </w:pPr>
      <w:r>
        <w:t xml:space="preserve">1. das Ersuchen dem Grundsatz der Verhältnismäßigkeit entspricht und</w:t>
      </w:r>
    </w:p>
    <w:p>
      <w:pPr>
        <w:ind w:left="420"/>
      </w:pPr>
      <w:r>
        <w:t xml:space="preserve">2. die in dem Ersuchen angegebene Ermittlungsmaßnahme in einem vergleichbaren innerstaatlichen Fall unter denselben Bedingungen angeordnet werden könnte.</w:t>
      </w:r>
    </w:p>
    <w:p>
      <w:r>
        <w:t xml:space="preserve">(4) Ist in einem Verfahren nach § 1 Absatz 2 die Anordnung einer Maßnahme dem Richter vorbehalten, kann die Bestätigung nach den Absätzen 2 und 3 auch durch das insoweit befasste Gericht erfolgen, wenn die Länder dies vorsehen.</w:t>
      </w:r>
    </w:p>
    <w:p>
      <w:r>
        <w:t xml:space="preserve">(5) § 69 gilt mit der Maßgabe, dass die vorübergehende Überstellung auch zu anderen als den dort genannten Ermittlungsmaßnahmen erfolgen kann. § 62 Absatz 1 Satz 1 Nummer 3 findet in Verbindung mit § 69 Absatz 3 oder § 70 Satz 1 keine Anwendung, wenn die betroffene Person in den räumlichen Geltungsbereich dieses Gesetzes oder des ersuchten Mitgliedstaates überstellt wurde und diesen Geltungsbereich innerhalb von 15 aufeinander folgenden Tagen, nachdem ihre Anwesenheit von den dort jeweils zuständigen Stellen nicht mehr verlangt wird, nicht verlassen hat, obwohl sie dazu die Möglichkeit hatte, oder nach Verlassen in ihn zurückgekehrt ist.</w:t>
      </w:r>
    </w:p>
    <w:p>
      <w:r>
        <w:rPr>
          <w:color w:val="555555"/>
          <w:sz w:val="17"/>
        </w:rPr>
        <w:t xml:space="preserve">Zitiervorschlag: § 91j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https://recht.nulegal.eu/gesetze/IRG/91j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