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91i IRG — Rechtsbehelfe; Aufschub der Übermittlung von Beweismitteln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Erfolgt eine Vorlage nach § 61 Absatz 1 Satz 1 oder wird ein Antrag nach § 61 Absatz 1 Satz 2 gestellt, überprüft das Oberlandesgericht auf Antrag auch Entscheidungen nach § 91e Absatz 3 und nach § 91f Absatz 1 und 2. Wenn Entscheidungen nach § 91e Absatz 3 ermessensfehlerhaft sind, stellt das Gericht dies fest, hebt die Entscheidungen insoweit auf und reicht die Akten zur erneuten Entscheidung unter Beachtung der Rechtsauffassung des Gerichts zurück; andernfalls stellt das Gericht fest, dass die Entscheidungen ermessensfehlerfrei sind.</w:t>
      </w:r>
    </w:p>
    <w:p>
      <w:r>
        <w:t xml:space="preserve">(2) Die Übermittlung von Beweismitteln an den ersuchenden Mitgliedstaat kann ausgesetzt werden, bis über einen Rechtsbehelf entschieden worden ist, der eingelegt wurde</w:t>
      </w:r>
    </w:p>
    <w:p>
      <w:pPr>
        <w:ind w:left="420"/>
      </w:pPr>
      <w:r>
        <w:t xml:space="preserve">1. in dem ersuchenden Mitgliedstaat gegen den Erlass der Europäischen Ermittlungsanordnung oder</w:t>
      </w:r>
    </w:p>
    <w:p>
      <w:pPr>
        <w:ind w:left="420"/>
      </w:pPr>
      <w:r>
        <w:t xml:space="preserve">2. im Geltungsbereich dieses Gesetzes.</w:t>
      </w:r>
    </w:p>
    <w:p>
      <w:r>
        <w:t xml:space="preserve">(3) Über Rechtsbehelfe gemäß Absatz 2 Nummer 2 ist die zuständige Stelle des ersuchenden Mitgliedstaates zu unterrichten; § 91d Absatz 3 Satz 2 gilt entsprechend.</w:t>
      </w:r>
    </w:p>
    <w:p>
      <w:r>
        <w:rPr>
          <w:color w:val="555555"/>
          <w:sz w:val="17"/>
        </w:rPr>
        <w:t xml:space="preserve">Zitiervorschlag: § 91i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https://recht.nulegal.eu/gesetze/IRG/91i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