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91b IRG — Voraussetzungen der Zulässigkeit</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Leistung der Rechtshilfe ist nicht zulässig,</w:t>
      </w:r>
    </w:p>
    <w:p>
      <w:pPr>
        <w:ind w:left="420"/>
      </w:pPr>
      <w:r>
        <w:t xml:space="preserve">1. wenn sie im Gesetz besonders bezeichnete Straftaten oder Straftaten von einer bestimmten Erheblichkeit voraussetzt und die dem Ersuchen zugrunde liegende Tat diese Voraussetzung auch bei gegebenenfalls sinngemäßer Umstellung des Sachverhalts nicht erfüllt oder</w:t>
      </w:r>
    </w:p>
    <w:p>
      <w:pPr>
        <w:ind w:left="420"/>
      </w:pPr>
      <w:r>
        <w:t xml:space="preserve">2. soweit</w:t>
      </w:r>
    </w:p>
    <w:p>
      <w:pPr>
        <w:ind w:left="780"/>
      </w:pPr>
      <w:r>
        <w:t xml:space="preserve">a) Zeugnis- oder Auskunftsverweigerungsrechte, insbesondere nach den §§ 52, 53 oder 55 der Strafprozessordnung, oder hierauf Bezug nehmende Vorschriften entgegenstehen oder</w:t>
      </w:r>
    </w:p>
    <w:p>
      <w:pPr>
        <w:ind w:left="780"/>
      </w:pPr>
      <w:r>
        <w:t xml:space="preserve">b) eine der in § 77 Absatz 2 genannten Vorschriften oder die §§ 18 bis 20 des Gerichtsverfassungsgesetzes eingreifen.</w:t>
      </w:r>
    </w:p>
    <w:p>
      <w:r>
        <w:t xml:space="preserve">(2) Ein Ersuchen in Steuer-, Abgaben-, Zoll- oder Währungsangelegenheiten ist auch zulässig, wenn das deutsche Recht keine gleichartigen Steuer-, Abgaben-, Zoll- oder Währungsbestimmungen enthält wie das Recht des ersuchenden Mitgliedstaates.</w:t>
      </w:r>
    </w:p>
    <w:p>
      <w:r>
        <w:t xml:space="preserve">(3) § 73 Satz 2 gilt mit der Maßgabe, dass die Leistung der Rechtshilfe nicht zulässig ist, wenn berechtigte Gründe für die Annahme bestehen, dass die Erledigung des Ersuchens mit den Verpflichtungen der Bundesrepublik Deutschland nach Artikel 6 des Vertrags über die Europäische Union und der Charta der Grundrechte der Europäischen Union unvereinbar wäre.</w:t>
      </w:r>
    </w:p>
    <w:p>
      <w:r>
        <w:t xml:space="preserve">(4) § 66 Absatz 2 Nummer 1 und § 67 Absatz 1 und 2 gelten mit der Maßgabe, dass die beiderseitige Strafbarkeit nicht zu prüfen ist, wenn die dem Ersuchen zugrunde liegende Tat nach dem Recht des ersuchenden Mitgliedstaates einer der in Anhang D der Richtlinie Europäische Ermittlungsanordnung aufgeführten Deliktsgruppen zugehörig ist und mit einer Freiheitsstrafe oder einer freiheitsentziehenden Maßregel der Besserung und Sicherung im Höchstmaß von mindestens drei Jahren bedroht ist.</w:t>
      </w:r>
    </w:p>
    <w:p>
      <w:r>
        <w:t xml:space="preserve">(5) Ist die Leistung der Rechtshilfe nicht zulässig, ist die zuständige Stelle des ersuchenden Mitgliedstaates unverzüglich zu unterrichten. Die Unterrichtung erfolgt in einer Form, die einen schriftlichen Nachweis ermöglicht.</w:t>
      </w:r>
    </w:p>
    <w:p>
      <w:r>
        <w:rPr>
          <w:color w:val="555555"/>
          <w:sz w:val="17"/>
        </w:rPr>
        <w:t xml:space="preserve">Zitiervorschlag: § 91b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