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IRG — Vorrang des Zehnten Teils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Soweit dieser Teil keine besonderen Regelungen enthält, finden die übrigen Bestimmungen dieses Gesetzes auf den sonstigen Rechtshilfeverkehr mit den Mitgliedstaaten der Europäischen Union Anwendung.</w:t>
      </w:r>
    </w:p>
    <w:p>
      <w:r>
        <w:t xml:space="preserve">(2) Dieser Teil geht den in § 1 Abs. 3 genannten völkerrechtlichen Vereinbarungen vor, soweit er abschließende Regelungen enthält.</w:t>
      </w:r>
    </w:p>
    <w:p>
      <w:r>
        <w:t xml:space="preserve">(3) Die §§ 92 bis 92h finden auch im Rahmen des Rechtshilfeverkehrs auf die Staaten Anwendung, welche die Bestimmungen des Schengen-Besitzstandes auf Grund eines Assoziierungsübereinkommens mit der Europäischen Union über die Umsetzung, Anwendung und Entwicklung des Schengen-Besitzstandes anwenden (Schengenassoziierte Staaten).</w:t>
      </w:r>
    </w:p>
    <w:p>
      <w:r>
        <w:rPr>
          <w:color w:val="555555"/>
          <w:sz w:val="17"/>
        </w:rPr>
        <w:t xml:space="preserve">Zitiervorschlag: § 91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