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90z IRG — Rücknahme der Überwachungsabgabe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Gericht hat die Bescheinigung zur Abgabe der Überwachung zurückzunehmen, wenn die Voraussetzungen für den Haftbefehl entfallen sind. Es kann die Bescheinigung zurücknehmen, wenn</w:t>
      </w:r>
    </w:p>
    <w:p>
      <w:pPr>
        <w:ind w:left="420"/>
      </w:pPr>
      <w:r>
        <w:t xml:space="preserve">1. die zuständige Behörde des anderen Mitgliedstaates mitgeteilt hat, dass sie die Maßnahmen entsprechend dem dort geltenden Recht angepasst hat,</w:t>
      </w:r>
    </w:p>
    <w:p>
      <w:pPr>
        <w:ind w:left="420"/>
      </w:pPr>
      <w:r>
        <w:t xml:space="preserve">2. die zuständige Behörde des anderen Mitgliedstaates mitgeteilt hat, dass sie die Maßnahmen nur während eines begrenzten Zeitraums überwachen kann, oder</w:t>
      </w:r>
    </w:p>
    <w:p>
      <w:pPr>
        <w:ind w:left="420"/>
      </w:pPr>
      <w:r>
        <w:t xml:space="preserve">3. die zuständige Behörde des anderen Mitgliedstaates mitgeteilt hat, dass sie es im Falle eines Verstoßes gegen die Maßnahmen ablehnen müsste, die zu überwachende Person auszuliefern.</w:t>
      </w:r>
    </w:p>
    <w:p>
      <w:r>
        <w:t xml:space="preserve">In den Fällen von Satz 2 hat die Rücknahme vor Beginn der Überwachung im anderen Mitgliedstaat und spätestens zehn Tage nach Eingang der Informationen bei dem zuständigen Gericht zu erfolgen.</w:t>
      </w:r>
    </w:p>
    <w:p>
      <w:r>
        <w:t xml:space="preserve">(2) Das Gericht ist für die Überwachung der Maßnahmen wieder zuständig, wenn</w:t>
      </w:r>
    </w:p>
    <w:p>
      <w:pPr>
        <w:ind w:left="420"/>
      </w:pPr>
      <w:r>
        <w:t xml:space="preserve">1. die zuständige Behörde des anderen Mitgliedstaates mitteilt, dass die zu überwachende Person ihren rechtmäßigen gewöhnlichen Aufenthalt in einen anderen Staat als den avisierten Vollstreckungsstaat verlegt hat,</w:t>
      </w:r>
    </w:p>
    <w:p>
      <w:pPr>
        <w:ind w:left="420"/>
      </w:pPr>
      <w:r>
        <w:t xml:space="preserve">2. das Gericht die Maßnahmen geändert und die zuständige Behörde des anderen Mitgliedstaates es abgelehnt hat, die geänderten Maßnahmen zu überwachen,</w:t>
      </w:r>
    </w:p>
    <w:p>
      <w:pPr>
        <w:ind w:left="420"/>
      </w:pPr>
      <w:r>
        <w:t xml:space="preserve">3. der maximale Überwachungszeitraum, während dessen die Maßnahmen im anderen Mitgliedstaat überwacht werden dürfen, abgelaufen ist,</w:t>
      </w:r>
    </w:p>
    <w:p>
      <w:pPr>
        <w:ind w:left="420"/>
      </w:pPr>
      <w:r>
        <w:t xml:space="preserve">4. die zuständige Behörde des anderen Mitgliedstaates beschlossen hat, die Überwachung der Maßnahmen nach Maßgabe des Artikels 23 des Rahmenbeschlusses Überwachungsanordnung einzustellen, und das Gericht hiervon unterrichtet hat.</w:t>
      </w:r>
    </w:p>
    <w:p>
      <w:r>
        <w:rPr>
          <w:color w:val="555555"/>
          <w:sz w:val="17"/>
        </w:rPr>
        <w:t xml:space="preserve">Zitiervorschlag: § 90z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https://recht.nulegal.eu/gesetze/IRG/90z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