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90o IRG — Grundsatz</w:t>
      </w:r>
    </w:p>
    <w:p>
      <w:r>
        <w:rPr>
          <w:color w:val="555555"/>
          <w:sz w:val="18"/>
        </w:rPr>
        <w:t xml:space="preserve">Gesetz über die internationale Rechtshilfe in Strafsachen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Nach diesem Abschnitt richtet sich die Vollstreckungshilfe für und die Vollstreckungsabgabe an einen anderen Mitgliedstaat der Europäischen Union nach Maßgabe des Rahmenbeschlusses 2009/829/JI des Rates vom 23. Oktober 2009 über die Anwendung – zwischen den Mitgliedstaaten der Europäischen Union – des Grundsatzes der gegenseitigen Anerkennung auf Entscheidungen über Überwachungsmaßnahmen als Alternative zur Untersuchungshaft (ABl. L 294 vom 11.11.2009, S. 20) (Rahmenbeschluss Überwachungsanordnung).</w:t>
      </w:r>
    </w:p>
    <w:p>
      <w:r>
        <w:t xml:space="preserve">(2) Soweit dieser Abschnitt keine besonderen Regelungen enthält, sind die allgemeinen Bestimmungen des Ersten und Siebenten Teils dieses Gesetzes anzuwenden. § 53 gilt entsprechend.</w:t>
      </w:r>
    </w:p>
    <w:p>
      <w:r>
        <w:t xml:space="preserve">(3) Dieser Abschnitt geht den in § 1 Absatz 3 genannten völkerrechtlichen Vereinbarungen vor, soweit er abschließende Regelungen enthält.</w:t>
      </w:r>
    </w:p>
    <w:p>
      <w:r>
        <w:rPr>
          <w:color w:val="555555"/>
          <w:sz w:val="17"/>
        </w:rPr>
        <w:t xml:space="preserve">Zitiervorschlag: § 90o IRG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https://recht.nulegal.eu/gesetze/IRG/90o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