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IRG — Konkurrierende Gerichtsbarkeit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Ist für die Tat auch die deutsche Gerichtsbarkeit begründet, so ist die Auslieferung nicht zulässig, wenn</w:t>
      </w:r>
    </w:p>
    <w:p>
      <w:pPr>
        <w:ind w:left="420"/>
      </w:pPr>
      <w:r>
        <w:t xml:space="preserve">1. ein Gericht oder eine Behörde im Geltungsbereich dieses Gesetzes gegen den Verfolgten wegen der Tat ein Urteil oder eine Entscheidung mit entsprechender Rechtswirkung erlassen, die Eröffnung des Hauptverfahrens abgelehnt (§ 204 der Strafprozeßordnung), einen Antrag auf Erhebung der öffentlichen Klage verworfen (§ 174 der Strafprozeßordnung), das Verfahren nach Erfüllung von Auflagen und Weisungen eingestellt (§ 153a der Strafprozeßordnung) oder nach Jugendstrafrecht von der Verfolgung abgesehen oder das Verfahren eingestellt hat (§§ 45, 47 des Jugendgerichtsgesetzes) oder</w:t>
      </w:r>
    </w:p>
    <w:p>
      <w:pPr>
        <w:ind w:left="420"/>
      </w:pPr>
      <w:r>
        <w:t xml:space="preserve">2. die Verfolgung oder Vollstreckung nach deutschem Recht verjährt oder auf Grund eines deutschen Straffreiheitsgesetzes ausgeschlossen ist.</w:t>
      </w:r>
    </w:p>
    <w:p>
      <w:r>
        <w:rPr>
          <w:color w:val="555555"/>
          <w:sz w:val="17"/>
        </w:rPr>
        <w:t xml:space="preserve">Zitiervorschlag: § 9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