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88e IRG — Vollstreckung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 57 Absatz 1 gilt mit der Maßgabe, dass sich die Zuständigkeit für die Vollstreckung einer ausländischen Anordnung auch dann nach den Bestimmungen des Jugendgerichtsgesetzes richtet, wenn die Sanktion nicht gemäß § 88d Absatz 3 Satz 4 umgewandelt wurde und das Gericht bei der Entscheidung über die Vollstreckbarkeit das Jugendgerichtsgesetz angewendet hat.</w:t>
      </w:r>
    </w:p>
    <w:p>
      <w:r>
        <w:t xml:space="preserve">(2) § 57 Absatz 4 gilt entsprechend mit der Maßgabe, dass die Anordnung der Haft zur Abgabe einer eidesstattlichen Versicherung über das Vermögen oder über den Verbleib von Vermögensgegenständen nur mit Zustimmung der zuständigen Behörde des ersuchenden Mitgliedstaates erfolgen darf.</w:t>
      </w:r>
    </w:p>
    <w:p>
      <w:r>
        <w:t xml:space="preserve">(3) Die Vollstreckung kann unter den Voraussetzungen des § 88d Absatz 2 einstweilen eingestellt werden.</w:t>
      </w:r>
    </w:p>
    <w:p>
      <w:r>
        <w:rPr>
          <w:color w:val="555555"/>
          <w:sz w:val="17"/>
        </w:rPr>
        <w:t xml:space="preserve">Zitiervorschlag: § 88e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https://recht.nulegal.eu/gesetze/IRG/88e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