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88d IRG — Verfahren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Erachtet die nach den §§ 50 und 51 zuständige Staatsanwaltschaft das Ersuchen für zulässig und beabsichtigt sie, keine Ablehnungsgründe nach § 88c geltend zu machen, leitet sie geeignete und erforderliche Maßnahmen zur einstweiligen Sicherstellung der zu vollstreckenden Vermögenswerte entsprechend den §§ 111b bis 111h der Strafprozessordnung ein und gibt der betroffenen Person sowie Dritten, die den Umständen des Falles nach Rechte an dem zu vollstreckenden Gegenstand geltend machen könnten, Gelegenheit, sich zu äußern. Entscheidet die Staatsanwaltschaft, nicht von den Ablehnungsgründen nach § 88c Nummer 1 bis 3 Gebrauch zu machen, begründet sie diese Entscheidung in dem Antrag auf gerichtliche Entscheidung über die Vollstreckbarkeit.</w:t>
      </w:r>
    </w:p>
    <w:p>
      <w:r>
        <w:t xml:space="preserve">(2) Die zuständige Behörde kann das Verfahren aufschieben,</w:t>
      </w:r>
    </w:p>
    <w:p>
      <w:pPr>
        <w:ind w:left="420"/>
      </w:pPr>
      <w:r>
        <w:t xml:space="preserve">1. solange anzunehmen ist, dass die Anordnung gleichzeitig in einem anderen Mitgliedstaat vollständig vollstreckt wird oder</w:t>
      </w:r>
    </w:p>
    <w:p>
      <w:pPr>
        <w:ind w:left="420"/>
      </w:pPr>
      <w:r>
        <w:t xml:space="preserve">2. solange das Verfahren zur Anerkennung und Vollstreckung der ausländischen Anordnung laufende Straf- und Vollstreckungsverfahren beeinträchtigen könnte.</w:t>
      </w:r>
    </w:p>
    <w:p>
      <w:r>
        <w:t xml:space="preserve">(3) In Abweichung von § 54 Absatz 1 wird die ausländische Anordnung durch das Gericht gemäß den §§ 50 und 55 für vollstreckbar erklärt, soweit deren Vollstreckung zulässig ist und die Staatsanwaltschaft ihr Ermessen, nicht von den Ablehnungsgründen nach § 88c Nummer 1 bis 3 Gebrauch zu machen, fehlerfrei ausgeübt hat. In der Beschlussformel ist auch der zu vollstreckende Geldbetrag oder Vermögensgegenstand anzugeben. § 54 Absatz 2a und 4 gilt entsprechend. Die verhängte Sanktion ist in die ihr im deutschen Recht am meisten entsprechende Sanktion umzuwandeln, wenn die Entscheidungsformel der ausländischen Anordnung nicht nach § 459g der Strafprozessordnung vollstreckbar ist.</w:t>
      </w:r>
    </w:p>
    <w:p>
      <w:r>
        <w:rPr>
          <w:color w:val="555555"/>
          <w:sz w:val="17"/>
        </w:rPr>
        <w:t xml:space="preserve">Zitiervorschlag: § 88d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https://recht.nulegal.eu/gesetze/IRG/88d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