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88c IRG — Ablehnungsgründe</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Ein nach § 88a zulässiges Ersuchen kann nur abgelehnt werden, wenn</w:t>
      </w:r>
    </w:p>
    <w:p>
      <w:pPr>
        <w:ind w:left="420"/>
      </w:pPr>
      <w:r>
        <w:t xml:space="preserve">1. die Bescheinigung gemäß Artikel 4 des Rahmenbeschlusses Einziehung durch den ersuchenden Mitgliedstaat auch nicht in einem Verfahren entsprechend § 88b Absatz 2 Satz 1 vorgelegt, vervollständigt oder berichtigt wurde;</w:t>
      </w:r>
    </w:p>
    <w:p>
      <w:pPr>
        <w:ind w:left="420"/>
      </w:pPr>
      <w:r>
        <w:t xml:space="preserve">2. die Tat im Inland oder in einem der in § 4 des Strafgesetzbuchs genannten Verkehrsmittel begangen wurde;</w:t>
      </w:r>
    </w:p>
    <w:p>
      <w:pPr>
        <w:ind w:left="420"/>
      </w:pPr>
      <w:r>
        <w:t xml:space="preserve">3. die Tat weder im Inland noch im Hoheitsbereich des ersuchenden Mitgliedstaates begangen wurde und deutsches Strafrecht nicht gilt oder die Tat nach deutschem Recht nicht mit Strafe bedroht ist;</w:t>
      </w:r>
    </w:p>
    <w:p>
      <w:pPr>
        <w:ind w:left="420"/>
      </w:pPr>
      <w:r>
        <w:t xml:space="preserve">4. im Inland eine Anordnung der Einziehung ergangen ist, die sich auf dieselben Vermögenswerte bezieht, und aus öffentlichem Interesse der Vollstreckung dieser Anordnung Vorrang eingeräumt werden soll oder</w:t>
      </w:r>
    </w:p>
    <w:p>
      <w:pPr>
        <w:ind w:left="420"/>
      </w:pPr>
      <w:r>
        <w:t xml:space="preserve">5. ein Ersuchen um Vollstreckung einer Anordnung der Einziehung aus einem weiteren Staat eingegangen ist, das sich auf dieselben Vermögenswerte bezieht, und aus öffentlichem Interesse der Vollstreckung dieser Anordnung Vorrang eingeräumt werden soll.</w:t>
      </w:r>
    </w:p>
    <w:p>
      <w:r>
        <w:rPr>
          <w:color w:val="555555"/>
          <w:sz w:val="17"/>
        </w:rPr>
        <w:t xml:space="preserve">Zitiervorschlag: § 88c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https://recht.nulegal.eu/gesetze/IRG/88c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