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88a IRG — Voraussetzungen der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In Abweichung von § 49 Absatz 1 ist die Vollstreckung einer nach Maßgabe des Rahmenbeschlusses Einziehung übersandten gerichtlichen Anordnung der Einziehung, die auf einen bestimmten Geldbetrag oder Vermögensgegenstand gerichtet ist, nur zulässig, wenn</w:t>
      </w:r>
    </w:p>
    <w:p>
      <w:pPr>
        <w:ind w:left="420"/>
      </w:pPr>
      <w:r>
        <w:t xml:space="preserve">1. eine zuständige Behörde eines anderen Mitgliedstaates der Europäischen Union unter Vorlage der in § 88b genannten Unterlagen darum ersucht hat und</w:t>
      </w:r>
    </w:p>
    <w:p>
      <w:pPr>
        <w:ind w:left="420"/>
      </w:pPr>
      <w:r>
        <w:t xml:space="preserve">2. auch nach deutschem Recht, ungeachtet etwaiger Verfahrenshindernisse und gegebenenfalls bei sinngemäßer Umstellung des Sachverhalts, wegen der Tat, die der ausländischen Anordnung der Einziehung zugrunde liegt, eine derartige Anordnung hätte getroffen werden können, wobei</w:t>
      </w:r>
    </w:p>
    <w:p>
      <w:pPr>
        <w:ind w:left="780"/>
      </w:pPr>
      <w:r>
        <w:t xml:space="preserve">a) außer bei Ersuchen um Vollstreckung einer dem § 73a oder dem § 74a des Strafgesetzbuchs entsprechenden Maßnahme die beiderseitige Strafbarkeit nicht zu prüfen ist, wenn die dem Ersuchen zugrunde liegende Tat nach dem Recht des ersuchenden Mitgliedstaates mit einer Freiheitsstrafe im Höchstmaß von mindestens drei Jahren bedroht ist und den in Artikel 6 Absatz 1 des Rahmenbeschlusses Einziehung aufgeführten Deliktsgruppen zugehörig ist und</w:t>
      </w:r>
    </w:p>
    <w:p>
      <w:pPr>
        <w:ind w:left="780"/>
      </w:pPr>
      <w:r>
        <w:t xml:space="preserve">b) die Vollstreckung in Steuer-, Abgaben-, Zoll- oder Währungsangelegenheiten auch zulässig ist, wenn das deutsche Recht keine gleichartigen Steuern oder Abgaben vorschreibt oder keine gleichartigen Steuer-, Abgaben-, Zoll- oder Währungsbestimmungen enthält wie das Recht des ersuchenden Mitgliedstaates.</w:t>
      </w:r>
    </w:p>
    <w:p>
      <w:r>
        <w:t xml:space="preserve">(2) Die Vollstreckung einer nach Absatz 1 übersandten Anordnung der Einziehung ist unzulässig, wenn</w:t>
      </w:r>
    </w:p>
    <w:p>
      <w:pPr>
        <w:ind w:left="420"/>
      </w:pPr>
      <w:r>
        <w:t xml:space="preserve">1. die Tat im Inland oder in einem der in § 4 des Strafgesetzbuchs genannten Verkehrsmittel begangen wurde und nach deutschem Recht nicht mit Strafe bedroht ist;</w:t>
      </w:r>
    </w:p>
    <w:p>
      <w:pPr>
        <w:ind w:left="420"/>
      </w:pPr>
      <w:r>
        <w:t xml:space="preserve">2. die betroffene Person zu der der Anordnung der Einziehung zugrunde liegenden Verhandlung nicht persönlich erschienen ist;</w:t>
      </w:r>
    </w:p>
    <w:p>
      <w:pPr>
        <w:ind w:left="420"/>
      </w:pPr>
      <w:r>
        <w:t xml:space="preserve">3. die betroffene Person wegen derselben Tat, die dem Ersuchen zugrunde liegt, bereits von einem anderen als dem ersuchenden Mitgliedstaat rechtskräftig abgeurteilt worden ist, vorausgesetzt, dass diese Sanktion bereits vollstreckt worden ist, gerade vollstreckt wird oder nach dem Recht des Urteilsstaates nicht mehr vollstreckt werden kann, es sei denn, die Einziehung könnte entsprechend § 76a des Strafgesetzbuchs selbständig angeordnet werden;</w:t>
      </w:r>
    </w:p>
    <w:p>
      <w:pPr>
        <w:ind w:left="420"/>
      </w:pPr>
      <w:r>
        <w:t xml:space="preserve">4. bei Straftaten, für die das deutsche Strafrecht gilt, die Vollstreckung nach deutschem Recht verjährt ist, es sei denn, eine Anordnung der Einziehung könnte entsprechend § 76a Absatz 2 des Strafgesetzbuchs erfolgen.</w:t>
      </w:r>
    </w:p>
    <w:p>
      <w:r>
        <w:t xml:space="preserve">(3) Die Vollstreckung einer nach Absatz 1 übersandten Anordnung der Einziehung ist in Abweichung von Absatz 2 Nummer 2 jedoch zulässig, wenn</w:t>
      </w:r>
    </w:p>
    <w:p>
      <w:pPr>
        <w:ind w:left="420"/>
      </w:pPr>
      <w:r>
        <w:t xml:space="preserve">1. die betroffene Person</w:t>
      </w:r>
    </w:p>
    <w:p>
      <w:pPr>
        <w:ind w:left="780"/>
      </w:pPr>
      <w:r>
        <w:t xml:space="preserve">a) rechtzeitig</w:t>
      </w:r>
    </w:p>
    <w:p>
      <w:pPr>
        <w:ind w:left="1140"/>
      </w:pPr>
      <w:r>
        <w:t xml:space="preserve">aa) persönlich zu der Verhandlung, die zu der Entscheidung geführt hat, geladen wurde oder</w:t>
      </w:r>
    </w:p>
    <w:p>
      <w:pPr>
        <w:ind w:left="1140"/>
      </w:pPr>
      <w:r>
        <w:t xml:space="preserve">bb) auf andere Weise tatsächlich offiziell von dem vorgesehenen Termin und Ort der Verhandlung, die zur Entscheidung geführt hat, in Kenntnis gesetzt wurde, sodass zweifelsfrei nachgewiesen wurde, dass die betroffene Person von der anberaumten Verhandlung Kenntnis hatte, und</w:t>
      </w:r>
    </w:p>
    <w:p>
      <w:pPr>
        <w:ind w:left="780"/>
      </w:pPr>
      <w:r>
        <w:t xml:space="preserve">b) dabei darauf hingewiesen wurde, dass eine Entscheidung auch in ihrer Abwesenheit ergehen kann,</w:t>
      </w:r>
    </w:p>
    <w:p>
      <w:pPr>
        <w:ind w:left="420"/>
      </w:pPr>
      <w:r>
        <w:t xml:space="preserve">2. die betroffene Person in Kenntnis des gegen sie gerichteten Verfahrens, an dem ein Verteidiger beteiligt war, eine persönliche Ladung durch Flucht verhindert hat oder</w:t>
      </w:r>
    </w:p>
    <w:p>
      <w:pPr>
        <w:ind w:left="420"/>
      </w:pPr>
      <w:r>
        <w:t xml:space="preserve">3. die betroffene Person in Kenntnis der anberaumten Verhandlung einen Verteidiger bevollmächtigt hat, sie in der Verhandlung zu verteidigen, und sie durch diesen in der Verhandlung tatsächlich verteidigt wurde.</w:t>
      </w:r>
    </w:p>
    <w:p>
      <w:r>
        <w:t xml:space="preserve">(4) Die Vollstreckung einer nach Absatz 1 übersandten Anordnung der Einziehung ist in Abweichung von Absatz 2 Nummer 2 auch zulässig, wenn die betroffene Person nach Zustellung der Entscheidung</w:t>
      </w:r>
    </w:p>
    <w:p>
      <w:pPr>
        <w:ind w:left="420"/>
      </w:pPr>
      <w:r>
        <w:t xml:space="preserve">1. ausdrücklich erklärt hat, die ergangene Entscheidung nicht anzufechten, oder</w:t>
      </w:r>
    </w:p>
    <w:p>
      <w:pPr>
        <w:ind w:left="420"/>
      </w:pPr>
      <w:r>
        <w:t xml:space="preserve">2. innerhalb geltender Fristen keine Wiederaufnahme des Verfahrens oder kein Berufungsverfahren beantragt hat.</w:t>
      </w:r>
    </w:p>
    <w:p>
      <w:r>
        <w:t xml:space="preserve">Die betroffene Person muss zuvor ausdrücklich über ihr Recht auf Wiederaufnahme des Verfahrens oder auf ein Berufungsverfahren, an dem sie teilnehmen kann und bei dem der Sachverhalt, einschließlich neuer Beweismittel, erneut geprüft und die ursprüngliche Entscheidung aufgehoben werden kann, belehrt worden sein.</w:t>
      </w:r>
    </w:p>
    <w:p>
      <w:r>
        <w:rPr>
          <w:color w:val="555555"/>
          <w:sz w:val="17"/>
        </w:rPr>
        <w:t xml:space="preserve">Zitiervorschlag: § 88a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