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87q IRG — Inländisches Vollstreckungsverfahren; Ruhen der Verjährung</w:t>
      </w:r>
    </w:p>
    <w:p>
      <w:r>
        <w:rPr>
          <w:color w:val="555555"/>
          <w:sz w:val="18"/>
        </w:rPr>
        <w:t xml:space="preserve">Gesetz über die internationale Rechtshilfe in Strafsachen</w:t>
      </w:r>
    </w:p>
    <w:p>
      <w:r>
        <w:rPr>
          <w:color w:val="555555"/>
          <w:sz w:val="18"/>
        </w:rPr>
        <w:t xml:space="preserve">Stand: 27.11.2020 (konsolidierte Textfassung, kein amtliches Inkrafttretensdatum)</w:t>
      </w:r>
    </w:p>
    <w:p>
      <w:r>
        <w:t xml:space="preserve">(1) Wurde der andere Mitgliedstaat um Vollstreckung ersucht, ist die Vollstreckung im Inland erst wieder zulässig, soweit</w:t>
      </w:r>
    </w:p>
    <w:p>
      <w:pPr>
        <w:ind w:left="420"/>
      </w:pPr>
      <w:r>
        <w:t xml:space="preserve">1. das Ersuchen zurückgenommen worden ist oder</w:t>
      </w:r>
    </w:p>
    <w:p>
      <w:pPr>
        <w:ind w:left="420"/>
      </w:pPr>
      <w:r>
        <w:t xml:space="preserve">2. der ersuchte Mitgliedstaat die Vollstreckung verweigert hat.</w:t>
      </w:r>
    </w:p>
    <w:p>
      <w:r>
        <w:t xml:space="preserve">Die Vollstreckung im Inland ist unzulässig, wenn der ersuchte Mitgliedstaat die Versagung der Vollstreckung darauf gestützt hat, dass gegen den Betroffenen wegen derselben Tat im ersuchten Mitgliedstaat eine Entscheidung ergangen ist oder in einem dritten Staat eine Entscheidung ergangen und vollstreckt worden ist.</w:t>
      </w:r>
    </w:p>
    <w:p>
      <w:r>
        <w:t xml:space="preserve">(2) § 79a Nummer 2 Buchstabe c des Strafgesetzbuchs und § 34 Absatz 4 Nummer 3 des Gesetzes über Ordnungswidrigkeiten gelten mit der Maßgabe, dass die Vollstreckungsverjährung auch dann ruht, wenn die Zahlungserleichterung in einem anderen Mitgliedstaat der Europäischen Union bewilligt wurde.</w:t>
      </w:r>
    </w:p>
    <w:p>
      <w:r>
        <w:rPr>
          <w:color w:val="555555"/>
          <w:sz w:val="17"/>
        </w:rPr>
        <w:t xml:space="preserve">Zitiervorschlag: § 87q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https://recht.nulegal.eu/gesetze/IRG/87q</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