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87p IRG — Grundsatz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27.11.2020 (konsolidierte Textfassung, kein amtliches Inkrafttretensdatum)</w:t>
      </w:r>
    </w:p>
    <w:p>
      <w:r>
        <w:t xml:space="preserve">(1) Ersuchen an einen anderen Mitgliedstaat nach Maßgabe des Rahmenbeschlusses Geldsanktionen richten sich nach diesem Unterabschnitt. § 71 ist nicht anzuwenden. § 87 Absatz 2 Nummer 1, 3 und 4, Absatz 3 Satz 1 Nummer 1 und 2 sowie Satz 2 gilt sinngemäß.</w:t>
      </w:r>
    </w:p>
    <w:p>
      <w:r>
        <w:t xml:space="preserve">(2) Die zuständige Behörde eines anderen Mitgliedstaates kann um Vollstreckung einer Geldsanktion ersucht werden, wenn der Betroffene</w:t>
      </w:r>
    </w:p>
    <w:p>
      <w:pPr>
        <w:ind w:left="420"/>
      </w:pPr>
      <w:r>
        <w:t xml:space="preserve">1. eine natürliche Person ist, die ihren Wohnsitz im ersuchten Mitgliedstaat hat oder sich dort in der Regel aufhält,</w:t>
      </w:r>
    </w:p>
    <w:p>
      <w:pPr>
        <w:ind w:left="420"/>
      </w:pPr>
      <w:r>
        <w:t xml:space="preserve">2. eine juristische Person ist, die ihren Sitz im ersuchten Mitgliedstaat hat,</w:t>
      </w:r>
    </w:p>
    <w:p>
      <w:pPr>
        <w:ind w:left="420"/>
      </w:pPr>
      <w:r>
        <w:t xml:space="preserve">3. über Vermögen im ersuchten Mitgliedstaat verfügt oder</w:t>
      </w:r>
    </w:p>
    <w:p>
      <w:pPr>
        <w:ind w:left="420"/>
      </w:pPr>
      <w:r>
        <w:t xml:space="preserve">4. im ersuchten Mitgliedstaat Einkommen bezieht.</w:t>
      </w:r>
    </w:p>
    <w:p>
      <w:r>
        <w:rPr>
          <w:color w:val="555555"/>
          <w:sz w:val="17"/>
        </w:rPr>
        <w:t xml:space="preserve">Zitiervorschlag: § 87p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https://recht.nulegal.eu/gesetze/IRG/87p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