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87m IRG — Verbot der Doppelverfolgung; Mitteilung an das Bundeszentralregister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Vollstreckung bewilligt, so darf dieselbe Tat, die der Entscheidung des anderen Mitgliedstaates zugrunde liegt, nach deutschem Recht nicht mehr als Straftat oder Ordnungswidrigkeit verfolgt werden.</w:t>
      </w:r>
    </w:p>
    <w:p>
      <w:r>
        <w:t xml:space="preserve">(2) Die Bewilligung, nach der eine Entscheidung eines anderen Mitgliedstaates gemäß § 87 Absatz 2 Nummer 1 oder Nummer 2 für vollstreckbar erklärt oder abgelehnt wurde, ist dem Bundeszentralregister mitzuteilen. Dies gilt nicht, wenn</w:t>
      </w:r>
    </w:p>
    <w:p>
      <w:pPr>
        <w:ind w:left="420"/>
      </w:pPr>
      <w:r>
        <w:t xml:space="preserve">1. die Entscheidung des anderen Mitgliedstaates in das Bundeszentralregister nicht eingetragen werden kann oder</w:t>
      </w:r>
    </w:p>
    <w:p>
      <w:pPr>
        <w:ind w:left="420"/>
      </w:pPr>
      <w:r>
        <w:t xml:space="preserve">2. die Entscheidung gegen einen Deutschen ergangen ist und die Mitteilung nicht erforderlich ist, weil der andere Mitgliedstaat das Bundeszentralregister tatsächlich regelmäßig über strafrechtliche Verurteilungen gegen einen Deutschen unterrichtet.</w:t>
      </w:r>
    </w:p>
    <w:p>
      <w:r>
        <w:rPr>
          <w:color w:val="555555"/>
          <w:sz w:val="17"/>
        </w:rPr>
        <w:t xml:space="preserve">Zitiervorschlag: § 87m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https://recht.nulegal.eu/gesetze/IRG/87m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