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87a IRG — Vollstreckungsunterlagen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Vollstreckung der Geldsanktion ist nur zulässig, wenn die folgenden Unterlagen vorliegen:</w:t>
      </w:r>
    </w:p>
    <w:p>
      <w:pPr>
        <w:ind w:left="420"/>
      </w:pPr>
      <w:r>
        <w:t xml:space="preserve">1. das Original der zu vollstreckenden Entscheidung oder eine beglaubigte Abschrift hiervon,</w:t>
      </w:r>
    </w:p>
    <w:p>
      <w:pPr>
        <w:ind w:left="420"/>
      </w:pPr>
      <w:r>
        <w:t xml:space="preserve">2. die von der zuständigen Behörde des ersuchenden Staates ausgefüllte und unterzeichnete Bescheinigung entsprechend dem Formblatt, das im Anhang des Rahmenbeschlusses Geldsanktionen abgedruckt ist, im Original.</w:t>
      </w:r>
    </w:p>
    <w:p>
      <w:r>
        <w:rPr>
          <w:color w:val="555555"/>
          <w:sz w:val="17"/>
        </w:rPr>
        <w:t xml:space="preserve">Zitiervorschlag: § 87a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