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IRG — Grundsatz</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Vollstreckungshilfe für einen anderen Mitgliedstaat nach Maßgabe des Rahmenbeschlusses 2005/214/JI des Rates vom 24. Februar 2005 über die Anwendung des Grundsatzes der gegenseitigen Anerkennung von Geldstrafen und Geldbußen (ABl. L 76 vom 22.3.2005, S. 16), der durch den Rahmenbeschluss 2009/299/JI (ABl. L 81 vom 27.3.2009, S. 24) geändert worden ist, (Rahmenbeschluss Geldsanktionen) richtet sich nach diesem Unterabschnitt. Die Bestimmungen des Vierten Teils dieses Gesetzes sind nur anzuwenden, soweit auf diese Vorschriften im Folgenden ausdrücklich Bezug genommen wird.</w:t>
      </w:r>
    </w:p>
    <w:p>
      <w:r>
        <w:t xml:space="preserve">(2) Vollstreckungshilfe kann durch Vollstreckung einer rechtskräftig gegen einen Betroffenen verhängten Geldsanktion geleistet werden, wenn die Geldsanktion auf einer Entscheidung beruht, die</w:t>
      </w:r>
    </w:p>
    <w:p>
      <w:pPr>
        <w:ind w:left="420"/>
      </w:pPr>
      <w:r>
        <w:t xml:space="preserve">1. ein Gericht im ersuchenden Mitgliedstaat wegen einer nach dessen Recht strafbaren Tat getroffen hat,</w:t>
      </w:r>
    </w:p>
    <w:p>
      <w:pPr>
        <w:ind w:left="420"/>
      </w:pPr>
      <w:r>
        <w:t xml:space="preserve">2. eine nicht gerichtliche Stelle im ersuchenden Mitgliedstaat wegen einer nach dessen Recht strafbaren Tat getroffen hat, sofern gegen diese Entscheidung ein auch für Strafsachen zuständiges Gericht angerufen werden konnte,</w:t>
      </w:r>
    </w:p>
    <w:p>
      <w:pPr>
        <w:ind w:left="420"/>
      </w:pPr>
      <w:r>
        <w:t xml:space="preserve">3. eine nicht gerichtliche Stelle im ersuchenden Mitgliedstaat wegen einer Tat getroffen hat, die nach dessen Recht als Ordnungswidrigkeit geahndet worden ist, sofern gegen diese Entscheidung ein auch für Strafsachen zuständiges Gericht angerufen werden konnte, oder</w:t>
      </w:r>
    </w:p>
    <w:p>
      <w:pPr>
        <w:ind w:left="420"/>
      </w:pPr>
      <w:r>
        <w:t xml:space="preserve">4. ein auch für Strafsachen zuständiges Gericht im ersuchenden Mitgliedstaat über eine Entscheidung nach Nummer 3 getroffen hat.</w:t>
      </w:r>
    </w:p>
    <w:p>
      <w:r>
        <w:t xml:space="preserve">(3) Eine Geldsanktion im Sinne des Absatzes 2 ist die Verpflichtung zur Zahlung</w:t>
      </w:r>
    </w:p>
    <w:p>
      <w:pPr>
        <w:ind w:left="420"/>
      </w:pPr>
      <w:r>
        <w:t xml:space="preserve">1. eines Geldbetrages wegen einer strafbaren Handlung oder einer Ordnungswidrigkeit,</w:t>
      </w:r>
    </w:p>
    <w:p>
      <w:pPr>
        <w:ind w:left="420"/>
      </w:pPr>
      <w:r>
        <w:t xml:space="preserve">2. der neben einer Sanktion nach Nummer 1 auferlegten Kosten des Verfahrens,</w:t>
      </w:r>
    </w:p>
    <w:p>
      <w:pPr>
        <w:ind w:left="420"/>
      </w:pPr>
      <w:r>
        <w:t xml:space="preserve">3. einer neben einer Sanktion nach Nummer 1 festgesetzten Entschädigung an das Opfer, wenn das Opfer im Rahmen des Verfahrens im ersuchenden Mitgliedstaat keine zivilrechtlichen Ansprüche geltend machen durfte und ein Gericht in Ausübung seiner strafrechtlichen Zuständigkeit tätig wurde, oder</w:t>
      </w:r>
    </w:p>
    <w:p>
      <w:pPr>
        <w:ind w:left="420"/>
      </w:pPr>
      <w:r>
        <w:t xml:space="preserve">4. eines neben einer Sanktion nach Nummer 1 festgesetzten Geldbetrages an eine öffentliche Kasse oder an eine Organisation zur Unterstützung von Opfern.</w:t>
      </w:r>
    </w:p>
    <w:p>
      <w:r>
        <w:t xml:space="preserve">Keine Geldsanktionen sind Anordnungen über die Einziehung sowie Anordnungen zivilrechtlicher Natur, die sich aus Schadensersatzansprüchen und Klagen auf Wiederherstellung des früheren Zustands ergeben und gemäß der Verordnung (EU) Nr. 1215/2012 des Europäischen Parlaments und des Rates vom 12. Dezember 2012 über die gerichtliche Zuständigkeit und die Anerkennung und Vollstreckung von Entscheidungen in Zivil- und Handelssachen (ABl. L 351 vom 20.12.2012, S. 1) vollstreckbar sind.</w:t>
      </w:r>
    </w:p>
    <w:p>
      <w:r>
        <w:rPr>
          <w:color w:val="555555"/>
          <w:sz w:val="17"/>
        </w:rPr>
        <w:t xml:space="preserve">Zitiervorschlag: § 87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