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85c IRG — Gerichtliche Entscheidung auf Antrag der Vollstreckungsbehörde</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Auf Antrag der Vollstreckungsbehörde erklärt es das Gericht nach Maßgabe des Rahmenbeschlusses Freiheitsstrafen für zulässig, in einem anderen Mitgliedstaat eine freiheitsentziehende Sanktion gegen eine Person mit nichtdeutscher oder ohne Staatsangehörigkeit zu vollstrecken, wenn die verurteilte Person</w:t>
      </w:r>
    </w:p>
    <w:p>
      <w:pPr>
        <w:ind w:left="420"/>
      </w:pPr>
      <w:r>
        <w:t xml:space="preserve">1. die Staatsangehörigkeit dieses anderen Mitgliedstaates besitzt und dort ihren Lebensmittelpunkt hat oder</w:t>
      </w:r>
    </w:p>
    <w:p>
      <w:pPr>
        <w:ind w:left="420"/>
      </w:pPr>
      <w:r>
        <w:t xml:space="preserve">2. gemäß § 50 des Aufenthaltsgesetzes nach Feststellung der zuständigen Stelle zur Ausreise aus der Bundesrepublik Deutschland verpflichtet ist.</w:t>
      </w:r>
    </w:p>
    <w:p>
      <w:r>
        <w:rPr>
          <w:color w:val="555555"/>
          <w:sz w:val="17"/>
        </w:rPr>
        <w:t xml:space="preserve">Zitiervorschlag: § 85c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