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85a IRG — Gerichtliches Verfahren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nach § 71 Absatz 4 Satz 2 und 3 zuständige Oberlandesgericht entscheidet auf Antrag der Vollstreckungsbehörde nach § 85 Absatz 2 Satz 1 Nummer 2 oder auf Antrag der verurteilten Person nach § 85 Absatz 5 Satz 3 durch Beschluss. Die Vollstreckungsbehörde bereitet die Entscheidung vor.</w:t>
      </w:r>
    </w:p>
    <w:p>
      <w:r>
        <w:t xml:space="preserve">(2) § 13 Absatz 1 Satz 2, § 30 Absatz 2 Satz 2 und 4, Absatz 3, § 31 Absatz 1 und 4 sowie die §§ 33, 42 und 53 gelten entsprechend. Befindet sich die verurteilte Person im Geltungsbereich dieses Gesetzes, so gelten auch § 30 Absatz 2 Satz 1 sowie § 31 Absatz 2 und 3 entsprechend.</w:t>
      </w:r>
    </w:p>
    <w:p>
      <w:r>
        <w:rPr>
          <w:color w:val="555555"/>
          <w:sz w:val="17"/>
        </w:rPr>
        <w:t xml:space="preserve">Zitiervorschlag: § 85a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