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84n IRG — Durchbeförderung auf dem Luftweg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84l und 84m gelten auch für die Beförderung auf dem Luftweg, wenn es zu einer unvorhergesehenen Zwischenlandung im Geltungsbereich dieses Gesetzes kommt.</w:t>
      </w:r>
    </w:p>
    <w:p>
      <w:r>
        <w:t xml:space="preserve">(2) Zur Sicherung der Durchbeförderung sind bei einer unvorhergesehenen Zwischenlandung die Staatsanwaltschaft und die Beamten des Polizeidienstes zur vorläufigen Festnahme befugt.</w:t>
      </w:r>
    </w:p>
    <w:p>
      <w:r>
        <w:t xml:space="preserve">(3) § 47 Absatz 3, 4, 6 Satz 1 und Absatz 7 gilt entsprechend. § 47 Absatz 5 gilt entsprechend für den Durchbeförderungshaftbefehl mit der Maßgabe, dass dieser schon vor Eingang der Unterlagen gemäß § 84l Absatz 2 erlassen werden kann. Eine Durchbeförderung ist zu bewilligen, wenn das Oberlandesgericht den Durchbeförderungshaftbefehl aufrechterhalten hat.</w:t>
      </w:r>
    </w:p>
    <w:p>
      <w:r>
        <w:rPr>
          <w:color w:val="555555"/>
          <w:sz w:val="17"/>
        </w:rPr>
        <w:t xml:space="preserve">Zitiervorschlag: § 84n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https://recht.nulegal.eu/gesetze/IRG/84n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