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84m IRG — Durchbeförderungsverfahren</w:t>
      </w:r>
    </w:p>
    <w:p>
      <w:r>
        <w:rPr>
          <w:color w:val="555555"/>
          <w:sz w:val="18"/>
        </w:rPr>
        <w:t xml:space="preserve">Gesetz über die internationale Rechtshilfe in Strafsachen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das Durchbeförderungsverfahren gelten die §§ 44 und 45 Absatz 1, 2, 4 bis 7 entsprechend. Eine Durchbeförderung ist zu bewilligen, wenn ein Durchbeförderungshaftbefehl erlassen worden ist.</w:t>
      </w:r>
    </w:p>
    <w:p>
      <w:r>
        <w:t xml:space="preserve">(2) Über ein Ersuchen auf Durchbeförderung soll innerhalb einer Woche ab Eingang des Ersuchens entschieden werden.</w:t>
      </w:r>
    </w:p>
    <w:p>
      <w:r>
        <w:rPr>
          <w:color w:val="555555"/>
          <w:sz w:val="17"/>
        </w:rPr>
        <w:t xml:space="preserve">Zitiervorschlag: § 84m IRG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https://recht.nulegal.eu/gesetze/IRG/84m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