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84j IRG — Sicherung der Vollstreckung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58 Absatz 1, 2 und 4 gilt mit der Maßgabe, dass die Haft gegen die verurteilte Person angeordnet werden kann, wenn</w:t>
      </w:r>
    </w:p>
    <w:p>
      <w:pPr>
        <w:ind w:left="420"/>
      </w:pPr>
      <w:r>
        <w:t xml:space="preserve">1. sich die verurteilte Person im Geltungsbereich dieses Gesetzes aufhält,</w:t>
      </w:r>
    </w:p>
    <w:p>
      <w:pPr>
        <w:ind w:left="420"/>
      </w:pPr>
      <w:r>
        <w:t xml:space="preserve">2. ein ausländisches Erkenntnis gemäß § 84a Absatz 1 Nummer 1 ergangen ist,</w:t>
      </w:r>
    </w:p>
    <w:p>
      <w:pPr>
        <w:ind w:left="420"/>
      </w:pPr>
      <w:r>
        <w:t xml:space="preserve">3. der andere Mitgliedstaat um Inhaftnahme ersucht hat und</w:t>
      </w:r>
    </w:p>
    <w:p>
      <w:pPr>
        <w:ind w:left="420"/>
      </w:pPr>
      <w:r>
        <w:t xml:space="preserve">4. die Gefahr besteht, dass sich die verurteilte Person dem Verfahren über die Vollstreckbarkeit oder der Vollstreckung entzieht.</w:t>
      </w:r>
    </w:p>
    <w:p>
      <w:r>
        <w:rPr>
          <w:color w:val="555555"/>
          <w:sz w:val="17"/>
        </w:rPr>
        <w:t xml:space="preserve">Zitiervorschlag: § 84j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https://recht.nulegal.eu/gesetze/IRG/84j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