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84i IRG — Spezialität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Wurde eine verurteilte Person ohne ihr Einverständnis aus einem anderen Mitgliedstaat überstellt, darf sie wegen einer vor der Überstellung begangenen anderen Tat als derjenigen, die der Überstellung zugrunde liegt, weder verfolgt noch verurteilt noch einer freiheitsentziehenden Maßnahme unterworfen werden.</w:t>
      </w:r>
    </w:p>
    <w:p>
      <w:r>
        <w:t xml:space="preserve">(2) Abweichend von Absatz 1 kann eine überstellte Person wegen einer anderen Tat als derjenigen, die der Überstellung zugrunde liegt, verfolgt, verurteilt oder einer freiheitsentziehenden Maßnahme unterworfen werden, wenn</w:t>
      </w:r>
    </w:p>
    <w:p>
      <w:pPr>
        <w:ind w:left="420"/>
      </w:pPr>
      <w:r>
        <w:t xml:space="preserve">1. sie innerhalb von 45 Tagen nach ihrer endgültigen Freilassung den räumlichen Geltungsbereich dieses Gesetzes nicht verlassen hat, obwohl sie dazu die Möglichkeit hatte, oder nachdem sie ihn verlassen hat, in ihn zurückgekehrt ist,</w:t>
      </w:r>
    </w:p>
    <w:p>
      <w:pPr>
        <w:ind w:left="420"/>
      </w:pPr>
      <w:r>
        <w:t xml:space="preserve">2. die Strafverfolgung nicht zu einer Maßnahme führt, durch die die persönliche Freiheit beschränkt wird,</w:t>
      </w:r>
    </w:p>
    <w:p>
      <w:pPr>
        <w:ind w:left="420"/>
      </w:pPr>
      <w:r>
        <w:t xml:space="preserve">3. gegen sie wegen der anderen Straftat eine Strafe oder Maßregel der Besserung und Sicherung ohne Freiheitsentzug vollstreckt wird, selbst wenn diese Strafe oder Maßregel die persönliche Freiheit einschränken kann, oder</w:t>
      </w:r>
    </w:p>
    <w:p>
      <w:pPr>
        <w:ind w:left="420"/>
      </w:pPr>
      <w:r>
        <w:t xml:space="preserve">4. der andere Mitgliedstaat oder die überstellte Person auf die Anwendung von Absatz 1 verzichtet hat.</w:t>
      </w:r>
    </w:p>
    <w:p>
      <w:r>
        <w:t xml:space="preserve">Der Verzicht der überstellten Person nach Satz 1 Nummer 4 ist nach ihrer Überstellung zu Protokoll eines Richters oder Staatsanwalts zu erklären. Die Verzichtserklärung ist unwiderruflich. Die überstellte Person ist über die Rechtsfolgen ihres Verzichts und dessen Unwiderruflichkeit zu belehren.</w:t>
      </w:r>
    </w:p>
    <w:p>
      <w:r>
        <w:rPr>
          <w:color w:val="555555"/>
          <w:sz w:val="17"/>
        </w:rPr>
        <w:t xml:space="preserve">Zitiervorschlag: § 84i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