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84a IRG —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In Abweichung von § 49 ist die Vollstreckung eines ausländischen Erkenntnisses nach Maßgabe des Rahmenbeschlusses Freiheitsstrafen nur zulässig, wenn</w:t>
      </w:r>
    </w:p>
    <w:p>
      <w:pPr>
        <w:ind w:left="420"/>
      </w:pPr>
      <w:r>
        <w:t xml:space="preserve">1. ein Gericht eines anderen Mitgliedstaates eine freiheitsentziehende Sanktion rechtskräftig verhängt hat, die</w:t>
      </w:r>
    </w:p>
    <w:p>
      <w:pPr>
        <w:ind w:left="780"/>
      </w:pPr>
      <w:r>
        <w:t xml:space="preserve">a) vollstreckbar ist und</w:t>
      </w:r>
    </w:p>
    <w:p>
      <w:pPr>
        <w:ind w:left="780"/>
      </w:pPr>
      <w:r>
        <w:t xml:space="preserve">b) in den Fällen des § 84g Absatz 5 in eine Sanktion umgewandelt werden kann, die ihr im deutschen Recht am meisten entspricht,</w:t>
      </w:r>
    </w:p>
    <w:p>
      <w:pPr>
        <w:ind w:left="420"/>
      </w:pPr>
      <w:r>
        <w:t xml:space="preserve">2. auch nach deutschem Recht, ungeachtet etwaiger Verfahrenshindernisse und gegebenenfalls bei sinngemäßer Umstellung des Sachverhalts, wegen der dem Erkenntnis zugrunde liegenden Tat eine Strafe, Maßregel der Besserung und Sicherung oder Geldbuße hätte verhängt werden können und</w:t>
      </w:r>
    </w:p>
    <w:p>
      <w:pPr>
        <w:ind w:left="420"/>
      </w:pPr>
      <w:r>
        <w:t xml:space="preserve">3. die verurteilte Person</w:t>
      </w:r>
    </w:p>
    <w:p>
      <w:pPr>
        <w:ind w:left="780"/>
      </w:pPr>
      <w:r>
        <w:t xml:space="preserve">a) die deutsche Staatsangehörigkeit besitzt oder in der Bundesrepublik Deutschland rechtmäßig auf Dauer ihren gewöhnlichen Aufenthalt hat und kein Verfahren zur Beendigung des Aufenthalts durchgeführt wird,</w:t>
      </w:r>
    </w:p>
    <w:p>
      <w:pPr>
        <w:ind w:left="780"/>
      </w:pPr>
      <w:r>
        <w:t xml:space="preserve">b) sich in der Bundesrepublik Deutschland oder in dem Mitgliedstaat aufhält, in dem gegen sie das Erkenntnis ergangen ist, und</w:t>
      </w:r>
    </w:p>
    <w:p>
      <w:pPr>
        <w:ind w:left="780"/>
      </w:pPr>
      <w:r>
        <w:t xml:space="preserve">c) sofern sie sich in dem Mitgliedstaat aufhält, in dem gegen sie das Erkenntnis ergangen ist, sich gemäß den Bestimmungen dieses Mitgliedstaates mit der Vollstreckung in der Bundesrepublik Deutschland einverstanden erklärt hat.</w:t>
      </w:r>
    </w:p>
    <w:p>
      <w:r>
        <w:t xml:space="preserve">(2) Abweichend von Absatz 1 Nummer 2 ist die Vollstreckung in Steuer-, Zoll- und Währungsangelegenheiten auch zulässig, wenn das deutsche Recht keine gleichartigen Steuer-, Zoll- und Währungsbestimmungen enthält wie das Recht des anderen Mitgliedstaates.</w:t>
      </w:r>
    </w:p>
    <w:p>
      <w:r>
        <w:t xml:space="preserve">(3) Absatz 1 Nummer 2 findet keine Anwendung, wenn die verurteilte Person ihrer Auslieferung oder Durchlieferung zur Strafvollstreckung nach § 80 Absatz 3, § 83b Absatz 2 Nummer 2 oder § 83f Absatz 3 Satz 2 nicht zugestimmt hat. Liegen die in Absatz 1 Nummer 2 genannten Voraussetzungen nicht vor, so beträgt das Höchstmaß bei der Umwandlung der Sanktion nach § 84g Absatz 4 und 5 zwei Jahre Freiheitsentzug.</w:t>
      </w:r>
    </w:p>
    <w:p>
      <w:r>
        <w:t xml:space="preserve">(4) Abweichend von Absatz 1 Nummer 3 Buchstabe c ist ein Einverständnis der verurteilten Person entbehrlich, wenn eine zuständige Behörde des anderen Mitgliedstaates unter Vorlage der Unterlagen gemäß § 84c um Vollstreckung eines Erkenntnisses nach Maßgabe des Rahmenbeschlusses Freiheitsstrafen ersucht hat und</w:t>
      </w:r>
    </w:p>
    <w:p>
      <w:pPr>
        <w:ind w:left="420"/>
      </w:pPr>
      <w:r>
        <w:t xml:space="preserve">1. die verurteilte Person die deutsche Staatsangehörigkeit besitzt und in der Bundesrepublik Deutschland ihren Lebensmittelpunkt hat oder</w:t>
      </w:r>
    </w:p>
    <w:p>
      <w:pPr>
        <w:ind w:left="420"/>
      </w:pPr>
      <w:r>
        <w:t xml:space="preserve">2. der ersuchende Mitgliedstaat durch eine zuständige Stelle rechtskräftig entschieden hat, dass die verurteilte Person kein Aufenthaltsrecht in seinem Hoheitsbereich hat und sie deshalb nach der Entlassung aus dem Strafvollzug in die Bundesrepublik Deutschland ausgewiesen oder abgeschoben werden kann.</w:t>
      </w:r>
    </w:p>
    <w:p>
      <w:r>
        <w:rPr>
          <w:color w:val="555555"/>
          <w:sz w:val="17"/>
        </w:rPr>
        <w:t xml:space="preserve">Zitiervorschlag: § 84a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