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83j IRG — Rechtsbeistand</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(1) In einem Verfahren zur Vollstreckung eines Europäischen Haftbefehls zum Zwecke der Strafverfolgung liegt ein Fall der notwendigen Rechtsbeistandschaft vor, wenn</w:t>
      </w:r>
    </w:p>
    <w:p>
      <w:pPr>
        <w:ind w:left="420"/>
      </w:pPr>
      <w:r>
        <w:t xml:space="preserve">1. die verfolgte Person zur Unterstützung ihres Rechtsbeistands im ersuchten Mitgliedstaat einen Rechtsbeistand im Geltungsbereich dieses Gesetzes bezeichnet und</w:t>
      </w:r>
    </w:p>
    <w:p>
      <w:pPr>
        <w:ind w:left="420"/>
      </w:pPr>
      <w:r>
        <w:t xml:space="preserve">2. die Bestellung des weiteren Rechtsbeistands erforderlich ist, um eine wirksame Rechtsverfolgung im ersuchten Staat zu gewährleisten.</w:t>
      </w:r>
    </w:p>
    <w:p>
      <w:r>
        <w:t xml:space="preserve">(2) Liegt ein Fall der notwendigen Rechtsbeistandschaft nach Absatz 1 vor und hat die verfolgte Person noch keinen Rechtsbeistand im Geltungsbereich dieses Gesetzes zur Unterstützung ihres Rechtsbeistands im ersuchten Mitgliedstaat, so ist ihr auf Antrag oder von Amts wegen ein Rechtsbeistand zu bestellen.</w:t>
      </w:r>
    </w:p>
    <w:p>
      <w:r>
        <w:t xml:space="preserve">(3) Über die Bestellung entscheidet das Gericht, das den nationalen Haftbefehl, der Grundlage des Europäischen Haftbefehls ist, erlassen hat. Nach Erhebung der öffentlichen Klage entscheidet der Vorsitzende des Gerichts, bei dem das Verfahren anhängig ist.</w:t>
      </w:r>
    </w:p>
    <w:p>
      <w:r>
        <w:t xml:space="preserve">(4) Die Bestellung soll aufgehoben werden, wenn die Voraussetzungen nach Absatz 1 nicht mehr vorliegen oder die verfolgte Person überstellt worden ist.</w:t>
      </w:r>
    </w:p>
    <w:p>
      <w:r>
        <w:t xml:space="preserve">(5) Die Vorschriften des Elften Abschnittes des Ersten Buches der Strafprozessordnung mit Ausnahme der §§ 139, 140, 141, 141a, 142 Absatz 2 und 3, von § 143 Absatz 1 und 2 Satz 2 bis 4, § 143a Absatz 3 sowie § 144 gelten entsprechend.</w:t>
      </w:r>
    </w:p>
    <w:p>
      <w:r>
        <w:rPr>
          <w:color w:val="555555"/>
          <w:sz w:val="17"/>
        </w:rPr>
        <w:t xml:space="preserve">Zitiervorschlag: § 83j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https://recht.nulegal.eu/gesetze/IRG/83j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