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83f IRG — Durchlieferung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Durchlieferung durch den Geltungsbereich dieses Gesetzes aus einem Mitgliedstaat in einen anderen Mitgliedstaat ist zulässig, wenn sich aus den übermittelten Unterlagen</w:t>
      </w:r>
    </w:p>
    <w:p>
      <w:pPr>
        <w:ind w:left="420"/>
      </w:pPr>
      <w:r>
        <w:t xml:space="preserve">1. die Identität, wie sie im Anhang zum Rahmenbeschluss Europäischer Haftbefehl näher beschrieben wird, und die Staatsangehörigkeit des Verfolgten,</w:t>
      </w:r>
    </w:p>
    <w:p>
      <w:pPr>
        <w:ind w:left="420"/>
      </w:pPr>
      <w:r>
        <w:t xml:space="preserve">2. das Vorliegen eines Europäischen Haftbefehls oder einer in § 10 bezeichneten Urkunde,</w:t>
      </w:r>
    </w:p>
    <w:p>
      <w:pPr>
        <w:ind w:left="420"/>
      </w:pPr>
      <w:r>
        <w:t xml:space="preserve">3. die Art und die rechtliche Würdigung der Straftat und</w:t>
      </w:r>
    </w:p>
    <w:p>
      <w:pPr>
        <w:ind w:left="420"/>
      </w:pPr>
      <w:r>
        <w:t xml:space="preserve">4. die Umstände, unter denen die Straftat begangen wurde, einschließlich der Tatzeit und des Tatortes,</w:t>
      </w:r>
    </w:p>
    <w:p>
      <w:r>
        <w:t xml:space="preserve">ergeben.</w:t>
      </w:r>
    </w:p>
    <w:p>
      <w:r>
        <w:t xml:space="preserve">(2) Auf die Durchlieferung aus einem Drittstaat an einen Mitgliedstaat findet Absatz 1 mit der Maßgabe Anwendung, dass an die Stelle der in Absatz 1 Nr. 2 genannten Information die Information, dass ein Auslieferungsersuchen vorliegt, tritt.</w:t>
      </w:r>
    </w:p>
    <w:p>
      <w:r>
        <w:t xml:space="preserve">(3) Die Durchlieferung Deutscher zur Strafverfolgung ist nur zulässig, wenn der Mitgliedstaat, an den die Auslieferung erfolgt, zusichert, den Verfolgten auf deutsches Verlangen nach Verhängung einer rechtskräftigen Freiheitsstrafe oder sonstigen Sanktion zur Vollstreckung in den Geltungsbereich dieses Gesetzes zurückzuüberstellen. Die Durchlieferung Deutscher zur Strafvollstreckung ist nur zulässig, wenn der Betroffene zustimmt.</w:t>
      </w:r>
    </w:p>
    <w:p>
      <w:r>
        <w:t xml:space="preserve">(4) Über ein Ersuchen um Durchlieferung soll innerhalb von 30 Tagen nach Eingang des Ersuchens entschieden werden.</w:t>
      </w:r>
    </w:p>
    <w:p>
      <w:r>
        <w:rPr>
          <w:color w:val="555555"/>
          <w:sz w:val="17"/>
        </w:rPr>
        <w:t xml:space="preserve">Zitiervorschlag: § 83f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https://recht.nulegal.eu/gesetze/IRG/83f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