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83a IRG — Auslieferungsunterlagen</w:t>
      </w:r>
    </w:p>
    <w:p>
      <w:r>
        <w:rPr>
          <w:color w:val="555555"/>
          <w:sz w:val="18"/>
        </w:rPr>
        <w:t xml:space="preserve">Gesetz über die internationale Rechtshilfe in Strafsachen</w:t>
      </w:r>
    </w:p>
    <w:p>
      <w:r>
        <w:rPr>
          <w:color w:val="555555"/>
          <w:sz w:val="18"/>
        </w:rPr>
        <w:t xml:space="preserve">Stand: 28.12.2022 (konsolidierte Textfassung, kein amtliches Inkrafttretensdatum)</w:t>
      </w:r>
    </w:p>
    <w:p>
      <w:r>
        <w:t xml:space="preserve">(1) Die Auslieferung ist nur zulässig, wenn die in § 10 genannten Unterlagen oder ein Europäischer Haftbefehl übermittelt wurden, der die folgenden Angaben enthält:</w:t>
      </w:r>
    </w:p>
    <w:p>
      <w:pPr>
        <w:ind w:left="420"/>
      </w:pPr>
      <w:r>
        <w:t xml:space="preserve">1. die Identität, wie sie im Anhang zum Rahmenbeschluss Europäischer Haftbefehl näher beschrieben wird, und die Staatsangehörigkeit des Verfolgten,</w:t>
      </w:r>
    </w:p>
    <w:p>
      <w:pPr>
        <w:ind w:left="420"/>
      </w:pPr>
      <w:r>
        <w:t xml:space="preserve">2. die Bezeichnung und die Anschrift der ausstellenden Justizbehörde,</w:t>
      </w:r>
    </w:p>
    <w:p>
      <w:pPr>
        <w:ind w:left="420"/>
      </w:pPr>
      <w:r>
        <w:t xml:space="preserve">3. die Angabe, ob ein vollstreckbares Urteil, ein Haftbefehl oder eine andere vollstreckbare justitielle Entscheidung mit gleicher Rechtswirkung vorliegt,</w:t>
      </w:r>
    </w:p>
    <w:p>
      <w:pPr>
        <w:ind w:left="420"/>
      </w:pPr>
      <w:r>
        <w:t xml:space="preserve">4. die Art und rechtliche Würdigung der Straftat, einschließlich der gesetzlichen Bestimmungen,</w:t>
      </w:r>
    </w:p>
    <w:p>
      <w:pPr>
        <w:ind w:left="420"/>
      </w:pPr>
      <w:r>
        <w:t xml:space="preserve">5. die Beschreibung der Umstände, unter denen die Straftat begangen wurde, einschließlich der Tatzeit, des Tatortes und der Tatbeteiligung der gesuchten Person, und</w:t>
      </w:r>
    </w:p>
    <w:p>
      <w:pPr>
        <w:ind w:left="420"/>
      </w:pPr>
      <w:r>
        <w:t xml:space="preserve">6. die für die betreffende Straftat im Ausstellungsmitgliedstaat gesetzlich vorgesehene Höchststrafe oder im Fall des Vorliegens eines rechtskräftigen Urteils die verhängte Strafe.</w:t>
      </w:r>
    </w:p>
    <w:p>
      <w:r>
        <w:t xml:space="preserve">(2) Die Ausschreibung zur Festnahme zwecks Überstellung oder Auslieferung nach der Verordnung (EU) 2018/1862 des Europäischen Parlaments und des Rates vom 28. November 2018 über die Einrichtung, den Betrieb und die Nutzung des Schengener Informationssystems (SIS) im Bereich der polizeilichen Zusammenarbeit und der justiziellen Zusammenarbeit in Strafsachen, zur Änderung und Aufhebung des Beschlusses 2007/533/JI des Rates und zur Aufhebung der Verordnung (EG) Nr. 1986/2006 des Europäischen Parlaments und des Rates und des Beschlusses 2010/261/EU der Kommission (ABl. L 312 vom 7.12.2018, S. 56), die die unter Absatz 1 Nr. 1 bis 6 bezeichneten Angaben enthält oder der diese Angaben nachgereicht wurden, gilt als Europäischer Haftbefehl.</w:t>
      </w:r>
    </w:p>
    <w:p>
      <w:r>
        <w:rPr>
          <w:color w:val="555555"/>
          <w:sz w:val="17"/>
        </w:rPr>
        <w:t xml:space="preserve">Zitiervorschlag: § 83a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