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IRG — Auslieferung zur Verfolgung oder zur Vollstreckung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 3 findet mit den Maßgaben Anwendung, dass</w:t>
      </w:r>
    </w:p>
    <w:p>
      <w:pPr>
        <w:ind w:left="420"/>
      </w:pPr>
      <w:r>
        <w:t xml:space="preserve">1. die Auslieferung zur Verfolgung nur zulässig ist, wenn die Tat nach dem Recht des ersuchenden Mitgliedstaates mit einer Freiheitsstrafe oder sonstigen Sanktion im Höchstmaß von mindestens zwölf Monaten bedroht ist,</w:t>
      </w:r>
    </w:p>
    <w:p>
      <w:pPr>
        <w:ind w:left="420"/>
      </w:pPr>
      <w:r>
        <w:t xml:space="preserve">2. die Auslieferung zur Vollstreckung nur zulässig ist, wenn nach dem Recht des ersuchenden Mitgliedstaates eine freiheitsentziehende Sanktion zu vollstrecken ist, deren Maß mindestens vier Monate beträgt,</w:t>
      </w:r>
    </w:p>
    <w:p>
      <w:pPr>
        <w:ind w:left="420"/>
      </w:pPr>
      <w:r>
        <w:t xml:space="preserve">3. die Auslieferung in Steuer-, Zoll- und Währungsangelegenheiten auch zulässig ist, wenn das deutsche Recht keine gleichartigen Steuern vorschreibt oder keine gleichartigen Steuer-, Zoll- und Währungsbestimmungen enthält wie das Recht des ersuchenden Mitgliedstaates,</w:t>
      </w:r>
    </w:p>
    <w:p>
      <w:pPr>
        <w:ind w:left="420"/>
      </w:pPr>
      <w:r>
        <w:t xml:space="preserve">4. die beiderseitige Strafbarkeit nicht zu prüfen ist, wenn die dem Ersuchen zugrunde liegende Tat nach dem Recht des ersuchenden Staates mit einer freiheitsentziehenden Sanktion im Höchstmaß von mindestens drei Jahren bedroht ist und den in Artikel 2 Absatz 2 des Rahmenbeschlusses 2002/584/JI des Rates vom 13. Juni 2002 über den Europäischen Haftbefehl und die Übergabeverfahren zwischen den Mitgliedstaaten (ABl. L 190 vom 18. 7. 2002, S. 1), der durch den Rahmenbeschluss 2009/299/JI (ABl. L 81 vom 27.3.2009, S. 24) geändert worden ist, (Rahmenbeschluss Europäischer Haftbefehl) aufgeführten Deliktsgruppen zugehörig ist.</w:t>
      </w:r>
    </w:p>
    <w:p>
      <w:r>
        <w:rPr>
          <w:color w:val="555555"/>
          <w:sz w:val="17"/>
        </w:rPr>
        <w:t xml:space="preserve">Zitiervorschlag: § 81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