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IRG — Vorrang des Achten Teils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dieser Teil keine besonderen Regelungen enthält, finden die übrigen Bestimmungen dieses Gesetzes auf den Auslieferungs- und Durchlieferungsverkehr mit den Mitgliedstaaten der Europäischen Union Anwendung.</w:t>
      </w:r>
    </w:p>
    <w:p>
      <w:r>
        <w:t xml:space="preserve">(2) Dieser Teil geht den in § 1 Abs. 3 genannten völkerrechtlichen Vereinbarungen vor, soweit er abschließende Regelungen enthält.</w:t>
      </w:r>
    </w:p>
    <w:p>
      <w:r>
        <w:rPr>
          <w:color w:val="555555"/>
          <w:sz w:val="17"/>
        </w:rPr>
        <w:t xml:space="preserve">Zitiervorschlag: § 78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