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77f IRG — Verfahren bei Fehlen eines Angemessenheitsbeschlusses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Ohne Angemessenheitsbeschluss gemäß § 77d Absatz 1 Nummer 4 dürfen personenbezogene Daten übermittelt werden, wenn</w:t>
      </w:r>
    </w:p>
    <w:p>
      <w:pPr>
        <w:ind w:left="420"/>
      </w:pPr>
      <w:r>
        <w:t xml:space="preserve">1. in einem für den Empfängerstaat oder für die empfangende zwischen- oder überstaatliche Einrichtung rechtsverbindlichen Instrument geeignete Garantien zum Schutz personenbezogener Daten vorgesehen sind oder</w:t>
      </w:r>
    </w:p>
    <w:p>
      <w:pPr>
        <w:ind w:left="420"/>
      </w:pPr>
      <w:r>
        <w:t xml:space="preserve">2. die übermittelnde Stelle nach Bewertung aller relevanten Umstände zu der Auffassung gelangt, dass geeignete Garantien zum Schutz der personenbezogenen Daten bestehen.</w:t>
      </w:r>
    </w:p>
    <w:p>
      <w:r>
        <w:t xml:space="preserve">(2) Liegt kein Angemessenheitsbeschluss vor und bestehen keine geeigneten Garantien gemäß Absatz 1, so dürfen personenbezogene Daten im Einzelfall nur übermittelt werden, wenn dies erforderlich ist</w:t>
      </w:r>
    </w:p>
    <w:p>
      <w:pPr>
        <w:ind w:left="420"/>
      </w:pPr>
      <w:r>
        <w:t xml:space="preserve">1. zum Schutz lebenswichtiger Interessen der betroffenen Person oder einer anderen Person,</w:t>
      </w:r>
    </w:p>
    <w:p>
      <w:pPr>
        <w:ind w:left="420"/>
      </w:pPr>
      <w:r>
        <w:t xml:space="preserve">2. zur Wahrung schutzwürdiger Interessen der betroffenen Person,</w:t>
      </w:r>
    </w:p>
    <w:p>
      <w:pPr>
        <w:ind w:left="420"/>
      </w:pPr>
      <w:r>
        <w:t xml:space="preserve">3. zur Abwehr einer gegenwärtigen und erheblichen Gefahr für die öffentliche Sicherheit eines Staates,</w:t>
      </w:r>
    </w:p>
    <w:p>
      <w:pPr>
        <w:ind w:left="420"/>
      </w:pPr>
      <w:r>
        <w:t xml:space="preserve">4. zur Verhütung oder Verfolgung von Straftaten oder von Ordnungswidrigkeiten oder für die Vollstreckung oder den Vollzug von strafrechtlichen Sanktionen oder</w:t>
      </w:r>
    </w:p>
    <w:p>
      <w:pPr>
        <w:ind w:left="420"/>
      </w:pPr>
      <w:r>
        <w:t xml:space="preserve">5. zur Geltendmachung, Ausübung oder Verteidigung von Rechtsansprüchen im Zusammenhang mit den in Nummer 4 genannten Zwecken.</w:t>
      </w:r>
    </w:p>
    <w:p>
      <w:r>
        <w:t xml:space="preserve">(3) Die übermittelnde Stelle unterrichtet die zuständige datenschutzrechtliche Aufsichtsbehörde über Fallgruppen von Übermittlungen nach Absatz 1 Nummer 2.</w:t>
      </w:r>
    </w:p>
    <w:p>
      <w:r>
        <w:rPr>
          <w:color w:val="555555"/>
          <w:sz w:val="17"/>
        </w:rPr>
        <w:t xml:space="preserve">Zitiervorschlag: § 77f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