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IRG — Beschlagnahme und Durchsuchung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Gegenstände, deren Herausgabe an einen ausländischen Staat in Betracht kommt, können, auch schon vor Eingang des Ersuchens um Herausgabe, beschlagnahmt oder sonst sichergestellt werden. Zu diesem Zweck kann auch eine Durchsuchung vorgenommen werden.</w:t>
      </w:r>
    </w:p>
    <w:p>
      <w:r>
        <w:t xml:space="preserve">(2) Gegenstände können unter den Voraussetzungen des § 66 Abs. 1 Nr. 1, Abs. 2 Nr. 1 auch dann beschlagnahmt oder sonst sichergestellt werden, wenn dies zur Erledigung eines nicht auf Herausgabe der Gegenstände gerichteten Ersuchens erforderlich ist. Absatz 1 Satz 2 gilt entsprechend.</w:t>
      </w:r>
    </w:p>
    <w:p>
      <w:r>
        <w:t xml:space="preserve">(3) Die Beschlagnahme und die Durchsuchung werden von dem Amtsgericht angeordnet, in dessen Bezirk die Handlungen vorzunehmen sind. § 61 Abs. 2 Satz 2 gilt entsprechend.</w:t>
      </w:r>
    </w:p>
    <w:p>
      <w:r>
        <w:t xml:space="preserve">(4) Bei Gefahr im Verzug sind die Staatsanwaltschaft und ihre Ermittlungspersonen (§ 152 des Gerichtsverfassungsgesetzes) befugt, die Beschlagnahme und die Durchsuchung anzuordnen.</w:t>
      </w:r>
    </w:p>
    <w:p>
      <w:r>
        <w:rPr>
          <w:color w:val="555555"/>
          <w:sz w:val="17"/>
        </w:rPr>
        <w:t xml:space="preserve">Zitiervorschlag: § 67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