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61a IRG — Datenübermittlung ohne Ersuchen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Gerichte und Staatsanwaltschaften dürfen ohne ein Ersuchen personenbezogene Daten aus strafprozessualen Ermittlungen an öffentliche Stellen anderer Staaten sowie zwischen- und überstaatliche Stellen übermitteln, soweit</w:t>
      </w:r>
    </w:p>
    <w:p>
      <w:pPr>
        <w:ind w:left="420"/>
      </w:pPr>
      <w:r>
        <w:t xml:space="preserve">1. eine Übermittlung ohne Ersuchen an ein deutsches Gericht oder eine deutsche Staatsanwaltschaft zulässig wäre,</w:t>
      </w:r>
    </w:p>
    <w:p>
      <w:pPr>
        <w:ind w:left="420"/>
      </w:pPr>
      <w:r>
        <w:t xml:space="preserve">2. Tatsachen die Annahme rechtfertigen, dass die Übermittlung erforderlich ist, um</w:t>
      </w:r>
    </w:p>
    <w:p>
      <w:pPr>
        <w:ind w:left="780"/>
      </w:pPr>
      <w:r>
        <w:t xml:space="preserve">a) ein Ersuchen des Empfängerstaates um Rechtshilfe in einem Verfahren zur Strafverfolgung oder zur Strafvollstreckung wegen einer im Geltungsbereich dieses Gesetzes im Höchstmaß mit Freiheitsstrafe von mehr als fünf Jahren bedrohten Straftat vorzubereiten und die Voraussetzungen zur Leistung von Rechtshilfe auf Ersuchen vorlägen, wenn ein solches gestellt würde, oder</w:t>
      </w:r>
    </w:p>
    <w:p>
      <w:pPr>
        <w:ind w:left="780"/>
      </w:pPr>
      <w:r>
        <w:t xml:space="preserve">b) eine im Einzelfall bestehende Gefahr für den Bestand oder die Sicherheit des Staates oder für Leib, Leben oder Freiheit einer Person oder für Sachen von erheblichem Wert, deren Erhaltung im öffentlichen Interesse geboten ist, abzuwehren oder eine Straftat der in Buchstabe a genannten Art zu verhindern, und</w:t>
      </w:r>
    </w:p>
    <w:p>
      <w:pPr>
        <w:ind w:left="420"/>
      </w:pPr>
      <w:r>
        <w:t xml:space="preserve">3. die Stelle, an die die Daten übermittelt werden, für die zu treffende Maßnahme nach Nummer 2 zuständig ist.</w:t>
      </w:r>
    </w:p>
    <w:p>
      <w:r>
        <w:t xml:space="preserve">Ist im Empfängerstaat ein angemessenes Datenschutzniveau gewährleistet, so ist Satz 1 Nr. 2 Buchstabe a mit der Maßgabe anzuwenden, dass an die Stelle einer Straftat, die im Geltungsbereich dieses Gesetzes im Höchstmaß mit Freiheitsstrafe von mehr als fünf Jahren bedroht ist, eine Straftat von erheblicher Bedeutung tritt.</w:t>
      </w:r>
    </w:p>
    <w:p>
      <w:r>
        <w:t xml:space="preserve">(2) Die Übermittlung ist mit der Bedingung zu verbinden, dass</w:t>
      </w:r>
    </w:p>
    <w:p>
      <w:pPr>
        <w:ind w:left="420"/>
      </w:pPr>
      <w:r>
        <w:t xml:space="preserve">a) nach dem deutschen Recht geltende Löschungs- oder Löschungsprüffristen einzuhalten sind,</w:t>
      </w:r>
    </w:p>
    <w:p>
      <w:pPr>
        <w:ind w:left="420"/>
      </w:pPr>
      <w:r>
        <w:t xml:space="preserve">b) die übermittelten Daten nur zu dem Zweck verwendet werden dürfen, zu dem sie übermittelt worden sind, und</w:t>
      </w:r>
    </w:p>
    <w:p>
      <w:pPr>
        <w:ind w:left="420"/>
      </w:pPr>
      <w:r>
        <w:t xml:space="preserve">c) die übermittelten Daten im Falle einer Unterrichtung nach Absatz 4 unverzüglich zu löschen oder zu berichtigen sind.</w:t>
      </w:r>
    </w:p>
    <w:p>
      <w:r>
        <w:t xml:space="preserve">(3) Die Übermittlung unterbleibt, soweit für das Gericht oder die Staatsanwaltschaft offensichtlich ist, dass - auch unter Berücksichtigung des besonderen öffentlichen Interesses an der Datenübermittlung - im Einzelfall schutzwürdige Interessen des Betroffenen an dem Ausschluss der Übermittlung überwiegen; zu den schutzwürdigen Interessen des Betroffenen gehört auch das Vorhandensein eines angemessenen Datenschutzniveaus im Empfängerstaat.</w:t>
      </w:r>
    </w:p>
    <w:p>
      <w:r>
        <w:t xml:space="preserve">(4) Stellt sich heraus, dass personenbezogene Daten, die nicht hätten übermittelt werden dürfen, oder unrichtige personenbezogene Daten übermittelt worden sind, ist der Empfänger unverzüglich zu unterrichten.</w:t>
      </w:r>
    </w:p>
    <w:p>
      <w:r>
        <w:rPr>
          <w:color w:val="555555"/>
          <w:sz w:val="17"/>
        </w:rPr>
        <w:t xml:space="preserve">Zitiervorschlag: § 61a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