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IRG — Politische Straftaten, politische Verfolgung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nicht zulässig wegen einer politischen Tat oder wegen einer mit einer solchen zusammenhängenden Tat. Sie ist zulässig, wenn der Verfolgte wegen vollendeten oder versuchten Völkermordes, Mordes oder Totschlags oder wegen der Beteiligung hieran verfolgt wird oder verurteilt worden ist.</w:t>
      </w:r>
    </w:p>
    <w:p>
      <w:r>
        <w:t xml:space="preserve">(2) Die Auslieferung ist nicht zulässig, wenn ernstliche Gründe für die Annahme bestehen, daß der Verfolgte im Fall seiner Auslieferung wegen seiner Rasse, seiner Religion, seiner Staatsangehörigkeit, seiner Zugehörigkeit zu einer bestimmten sozialen Gruppe oder seiner politischen Anschauungen verfolgt oder bestraft oder daß seine Lage aus einem dieser Gründe erschwert werden würde.</w:t>
      </w:r>
    </w:p>
    <w:p>
      <w:r>
        <w:rPr>
          <w:color w:val="555555"/>
          <w:sz w:val="17"/>
        </w:rPr>
        <w:t xml:space="preserve">Zitiervorschlag: § 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