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IRG — Zulässigkeit der Rechtshilfe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Auf Ersuchen einer zuständigen Stelle eines ausländischen Staates kann sonstige Rechtshilfe in einer strafrechtlichen Angelegenheit geleistet werden.</w:t>
      </w:r>
    </w:p>
    <w:p>
      <w:r>
        <w:t xml:space="preserve">(2) Rechtshilfe im Sinne des Absatzes 1 ist jede Unterstützung, die für ein ausländisches Verfahren in einer strafrechtlichen Angelegenheit gewährt wird, unabhängig davon, ob das ausländische Verfahren von einem Gericht oder von einer Behörde betrieben wird und ob die Rechtshilfehandlung von einem Gericht oder von einer Behörde vorzunehmen ist.</w:t>
      </w:r>
    </w:p>
    <w:p>
      <w:r>
        <w:t xml:space="preserve">(3) Die Rechtshilfe darf nur geleistet werden, wenn die Voraussetzungen vorliegen, unter denen deutsche Gerichte oder Behörden einander in entsprechenden Fällen Rechtshilfe leisten könnten.</w:t>
      </w:r>
    </w:p>
    <w:p>
      <w:r>
        <w:rPr>
          <w:color w:val="555555"/>
          <w:sz w:val="17"/>
        </w:rPr>
        <w:t xml:space="preserve">Zitiervorschlag: § 59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