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IRG — Sicherung der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Liegt ein vollständiges rechtskräftiges und vollstreckbares Erkenntnis im Sinne des § 49 Absatz 1 Nummer 1 vor oder hat eine zuständige Stelle des ausländischen Staates unter Angabe der Zuwiderhandlung, die zu der Verurteilung geführt hat, Zeit und Ort ihrer Begehung und möglichst genauer Beschreibung der verurteilten Person vor dessen Eingang darum ersucht, so kann zur Sicherung der Vollstreckung einer freiheitsentziehenden Sanktion gegen die verurteilte Person die Haft angeordnet werden, wenn auf Grund bestimmter Tatsachen</w:t>
      </w:r>
    </w:p>
    <w:p>
      <w:pPr>
        <w:ind w:left="420"/>
      </w:pPr>
      <w:r>
        <w:t xml:space="preserve">1. der Verdacht begründet ist, dass sie sich dem Verfahren über die Vollstreckbarkeit oder der Vollstreckung entziehen werde, oder</w:t>
      </w:r>
    </w:p>
    <w:p>
      <w:pPr>
        <w:ind w:left="420"/>
      </w:pPr>
      <w:r>
        <w:t xml:space="preserve">2. der dringende Verdacht begründet ist, dass sie in dem Verfahren über die Vollstreckbarkeit in unlauterer Weise die Ermittlung der Wahrheit erschweren werde.</w:t>
      </w:r>
    </w:p>
    <w:p>
      <w:r>
        <w:t xml:space="preserve">(2) Die Haftentscheidung trifft das für die Entscheidung nach § 50 zuständige Gericht. Die §§ 17, 18, 20, 23 bis 27 gelten entsprechend. An die Stelle des Oberlandesgerichts tritt das Landgericht, an die Stelle der Staatsanwaltschaft bei dem Oberlandesgericht die Staatsanwaltschaft bei dem Landgericht. Gegen die Entscheidungen des Landgerichts ist die Beschwerde zulässig.</w:t>
      </w:r>
    </w:p>
    <w:p>
      <w:r>
        <w:t xml:space="preserve">(3) Für den Fall der Vollstreckung einer Geldstrafe, einer Geldbuße oder einer Anordnung der Einziehung oder für den Fall, dass eine zuständige Stelle des ausländischen Staates unter Angabe der verdächtigen Person, der Zuwiderhandlung, wegen derer das Strafverfahren geführt wird, und der Zeit und des Ortes ihrer Begehung in einem solchen Fall vor Eingang des vollständigen rechtskräftigen und vollstreckbaren Erkenntnisses um eine Sicherstellungsmaßnahme nach den §§ 111b bis 111h der Strafprozessordnung ersucht, findet § 67 Absatz 1 entsprechend Anwendung. Zur Vorbereitung einer Einziehungsentscheidung im ausländischen Staat, die sich auch auf den Wertersatz beziehen kann, können unter den Voraussetzungen des § 66 Abs. 2 Nr. 1 und 2 Sicherstellungsmaßnahmen nach den §§ 111b bis 111h der Strafprozessordnung getroffen werden.</w:t>
      </w:r>
    </w:p>
    <w:p>
      <w:r>
        <w:t xml:space="preserve">(4) Die Absätze 1 und 3 gelten nicht, wenn die Vollstreckung von vornherein unzulässig erscheint.</w:t>
      </w:r>
    </w:p>
    <w:p>
      <w:r>
        <w:rPr>
          <w:color w:val="555555"/>
          <w:sz w:val="17"/>
        </w:rPr>
        <w:t xml:space="preserve">Zitiervorschlag: § 58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