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56a IRG — Entschädigung der verletzten Person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Wurde aus einer ausländischen Anordnung der Einziehung von Taterträgen im Inland in Vermögenswerte der verurteilten Person vollstreckt, wird die durch die der ausländischen Anordnung zugrunde liegende Straftat verletzte Person auf Antrag aus der Staatskasse entschädigt, wenn</w:t>
      </w:r>
    </w:p>
    <w:p>
      <w:pPr>
        <w:ind w:left="420"/>
      </w:pPr>
      <w:r>
        <w:t xml:space="preserve">1. ein deutsches oder ausländisches Gericht gegen die verurteilte Person eine rechtskräftige Entscheidung über den Anspruch auf Schadenersatz erlassen hat oder sich diese durch einen Vollstreckungstitel gegenüber der verletzten Person zur Zahlung verpflichtet hat,</w:t>
      </w:r>
    </w:p>
    <w:p>
      <w:pPr>
        <w:ind w:left="420"/>
      </w:pPr>
      <w:r>
        <w:t xml:space="preserve">2. der Titel im Inland vollstreckbar ist,</w:t>
      </w:r>
    </w:p>
    <w:p>
      <w:pPr>
        <w:ind w:left="420"/>
      </w:pPr>
      <w:r>
        <w:t xml:space="preserve">3. die verletzte Person glaubhaft macht, dass der Vollstreckungstitel den Schadenersatz aus der der Anordnung der Einziehung von Taterträgen zugrunde liegenden Straftat umfasst und</w:t>
      </w:r>
    </w:p>
    <w:p>
      <w:pPr>
        <w:ind w:left="420"/>
      </w:pPr>
      <w:r>
        <w:t xml:space="preserve">4. die verletzte Person glaubhaft macht, dass sie durch die Vollstreckung aus dem Titel ihre Befriedigung nicht vollständig erlangen könne.</w:t>
      </w:r>
    </w:p>
    <w:p>
      <w:r>
        <w:t xml:space="preserve">Die Entschädigung ist gegen Abtretung des Anspruchs auf Schadenersatz in entsprechender Höhe zu leisten.</w:t>
      </w:r>
    </w:p>
    <w:p>
      <w:r>
        <w:t xml:space="preserve">(2) Eine Entschädigung wird nicht gewährt, wenn die Rechte der verletzten Person gemäß § 75 Absatz 2 Satz 1 des Strafgesetzbuchs fortbestehen.</w:t>
      </w:r>
    </w:p>
    <w:p>
      <w:r>
        <w:t xml:space="preserve">(3) Der Umfang der Entschädigung ist durch den der deutschen Staatskasse verbleibenden Erlös des aus der Anordnung der Einziehung von Taterträgen im Inland vollstreckten Vermögenswertes begrenzt. Haben mehrere Verletzte einen Antrag gemäß Absatz 1 gestellt, so bestimmt sich deren Entschädigung nach der Reihenfolge ihrer Anträge. Gehen mehrere Anträge am gleichen Tag ein und reicht der Erlös nicht zur Entschädigung dieser Personen aus, sind sie anteilig nach der Höhe ihrer Schadenersatzansprüche zu entschädigen.</w:t>
      </w:r>
    </w:p>
    <w:p>
      <w:r>
        <w:t xml:space="preserve">(4) Der Antrag ist an die zuständige Vollstreckungsbehörde zu richten. Er kann abgelehnt werden, wenn sechs Monate nach Beendigung der Vollstreckung in den Vermögenswert, aus dem die Entschädigung geleistet werden könnte, vergangen sind. Die Vollstreckungsbehörde kann angemessene Fristen setzen, binnen deren die verletzte Person erforderliche Unterlagen beizubringen hat.</w:t>
      </w:r>
    </w:p>
    <w:p>
      <w:r>
        <w:t xml:space="preserve">(5) Gegen die Entscheidung der Vollstreckungsbehörde ist der Rechtsweg zu den Zivilgerichten eröffnet.</w:t>
      </w:r>
    </w:p>
    <w:p>
      <w:r>
        <w:rPr>
          <w:color w:val="555555"/>
          <w:sz w:val="17"/>
        </w:rPr>
        <w:t xml:space="preserve">Zitiervorschlag: § 56a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https://recht.nulegal.eu/gesetze/IRG/56a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