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IRG — Bewilligung der Rechtshilfe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Rechtshilfe darf nur bewilligt werden, wenn das ausländische Erkenntnis für vollstreckbar erklärt worden ist.</w:t>
      </w:r>
    </w:p>
    <w:p>
      <w:r>
        <w:t xml:space="preserve">(2) Die Entscheidung über die Bewilligung der Rechtshilfe ist dem Bundeszentralregister mitzuteilen. § 55 Abs. 3 Satz 2 bis 4 gilt entsprechend.</w:t>
      </w:r>
    </w:p>
    <w:p>
      <w:r>
        <w:t xml:space="preserve">(3) Wird die Vollstreckung einer Geld- oder Freiheitsstrafe bewilligt, darf die Tat nach deutschem Recht nicht mehr verfolgt werden.</w:t>
      </w:r>
    </w:p>
    <w:p>
      <w:r>
        <w:t xml:space="preserve">(4) Die Bewilligung der Vollstreckung einer Anordnung der Einziehung steht der rechtskräftigen Anordnung und Entscheidung im Sinne der §§ 73, 74 des Strafgesetzbuches gleich. § 433 der Strafprozessordnung gilt entsprechend.</w:t>
      </w:r>
    </w:p>
    <w:p>
      <w:r>
        <w:rPr>
          <w:color w:val="555555"/>
          <w:sz w:val="17"/>
        </w:rPr>
        <w:t xml:space="preserve">Zitiervorschlag: § 56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