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IRG — Vorbereitung der Entscheidung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Reichen die übermittelten Unterlagen zur Beurteilung der Zulässigkeit der Vollstreckung nicht aus, so entscheidet das Gericht erst, wenn dem ausländischen Staat Gelegenheit gegeben worden ist, ergänzende Unterlagen beizubringen.</w:t>
      </w:r>
    </w:p>
    <w:p>
      <w:r>
        <w:t xml:space="preserve">(2) § 30 Abs. 1 Satz 2, Abs. 2 Satz 2 und 4, Abs. 3, § 31 Abs. 1 und 4 gelten entsprechend. Befindet sich die verurteilte Person im Geltungsbereich dieses Gesetzes, so gelten auch § 30 Abs. 2 Satz 1, § 31 Abs. 2 und 3 entsprechend.</w:t>
      </w:r>
    </w:p>
    <w:p>
      <w:r>
        <w:t xml:space="preserve">(3) Die verurteilte Person sowie Dritte, die im Falle der Vollstreckung von ausländischen Anordnungen der Einziehung den Umständen des Falles nach Rechte an dem Gegenstand geltend machen könnten, müssen vor der Entscheidung Gelegenheit erhalten, sich zu äußern.</w:t>
      </w:r>
    </w:p>
    <w:p>
      <w:r>
        <w:rPr>
          <w:color w:val="555555"/>
          <w:sz w:val="17"/>
        </w:rPr>
        <w:t xml:space="preserve">Zitiervorschlag: § 52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