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IRG — Weitere Voraussetzungen der Zulässigkeit</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Vollstreckung ist nur zulässig, wenn</w:t>
      </w:r>
    </w:p>
    <w:p>
      <w:pPr>
        <w:ind w:left="420"/>
      </w:pPr>
      <w:r>
        <w:t xml:space="preserve">1. ein vollständiges rechtskräftiges und vollstreckbares Erkenntnis vorliegt,</w:t>
      </w:r>
    </w:p>
    <w:p>
      <w:pPr>
        <w:ind w:left="420"/>
      </w:pPr>
      <w:r>
        <w:t xml:space="preserve">2. das ausländische Erkenntnis in einem Verfahren ergangen ist, welches mit der Europäischen Konvention vom 4. November 1950 zum Schutz der Menschenrechte und Grundfreiheiten einschließlich ihrer Zusatzprotokolle, soweit sie für die Bundesrepublik Deutschland in Kraft getreten sind, im Einklang steht,</w:t>
      </w:r>
    </w:p>
    <w:p>
      <w:pPr>
        <w:ind w:left="420"/>
      </w:pPr>
      <w:r>
        <w:t xml:space="preserve">3. auch nach deutschem Recht, ungeachtet etwaiger Verfahrenshindernisse und gegebenenfalls nach sinngemäßer Umstellung des Sachverhalts, wegen der Tat, die dem ausländischen Erkenntnis zugrunde liegt,</w:t>
      </w:r>
    </w:p>
    <w:p>
      <w:pPr>
        <w:ind w:left="780"/>
      </w:pPr>
      <w:r>
        <w:t xml:space="preserve">a) eine Strafe, eine Maßregel der Besserung und Sicherung oder eine Geldbuße hätte verhängt werden können oder</w:t>
      </w:r>
    </w:p>
    <w:p>
      <w:pPr>
        <w:ind w:left="780"/>
      </w:pPr>
      <w:r>
        <w:t xml:space="preserve">b) in Fällen, in denen eine Anordnung der Einziehung vollstreckt werden soll, eine derartige Anordnung, hätte getroffen werden können,</w:t>
      </w:r>
    </w:p>
    <w:p>
      <w:pPr>
        <w:ind w:left="420"/>
      </w:pPr>
      <w:r>
        <w:t xml:space="preserve">4. keine Entscheidung der in § 9 Nummer 1 genannten Art ergangen ist, es sei denn, in Fällen, in denen eine Anordnung der Einziehung vollstreckt werden soll, könnte eine solche Anordnung entsprechend § 76a des Strafgesetzbuchs selbständig angeordnet werden, und</w:t>
      </w:r>
    </w:p>
    <w:p>
      <w:pPr>
        <w:ind w:left="420"/>
      </w:pPr>
      <w:r>
        <w:t xml:space="preserve">5. die Vollstreckung nicht nach deutschem Recht verjährt ist oder bei sinngemäßer Umstellung des Sachverhalts verjährt wäre; ungeachtet dessen ist die Vollstreckung einer Anordnung der Einziehung zulässig, wenn</w:t>
      </w:r>
    </w:p>
    <w:p>
      <w:pPr>
        <w:ind w:left="780"/>
      </w:pPr>
      <w:r>
        <w:t xml:space="preserve">a) für die der Anordnung zugrunde liegende Tat deutsches Strafrecht nicht gilt oder</w:t>
      </w:r>
    </w:p>
    <w:p>
      <w:pPr>
        <w:ind w:left="780"/>
      </w:pPr>
      <w:r>
        <w:t xml:space="preserve">b) eine solche Anordnung, gegebenenfalls bei sinngemäßer Umstellung des Sachverhalts, nach § 76a Absatz 2 Nummer 1 des Strafgesetzbuchs erfolgen könnte.</w:t>
      </w:r>
    </w:p>
    <w:p>
      <w:r>
        <w:t xml:space="preserve">(2) Ist in einem ausländischen Staat eine freiheitsentziehende Sanktion verhängt worden und hält die verurteilte Person sich dort auf, so ist die Vollstreckung ferner nur zulässig, wenn sich die verurteilte Person nach Belehrung zu Protokoll eines Richters des ausländischen Staates oder eines zur Beurkundung von Willenserklärungen ermächtigten deutschen Berufskonsularbeamten damit einverstanden erklärt hat. Das Einverständnis kann nicht widerrufen werden.</w:t>
      </w:r>
    </w:p>
    <w:p>
      <w:r>
        <w:t xml:space="preserve">(3) Die Vollstreckung einer freiheitsentziehenden Sanktion, die gegen eine Person mit deutscher Staatsangehörigkeit in einem ausländischen Staat verhängt worden ist, kann abweichend von Absatz 1 Nummer 2 bis 5 unter Beachtung der Interessen der verurteilten Person ausnahmsweise für zulässig erklärt werden, wenn die verurteilte Person dies beantragt hat. Der Antrag der verurteilten Person nach Satz 1 ist zu Protokoll eines Richters oder, wenn die verurteilte Person im Ausland festgehalten wird, zu Protokoll eines zur Beurkundung von Willenserklärungen ermächtigten deutschen Berufskonsularbeamten zu erklären. Der Antrag kann nicht zurückgenommen werden. Die verurteilte Person ist zuvor über die Rechtsfolgen ihres Antrags und darüber zu belehren, dass dieser nicht zurückgenommen werden kann. Liegen die in Absatz 1 Nummer 3 genannten Voraussetzungen nicht vor, so beträgt das Höchstmaß bei der Umwandlung der Sanktion nach § 54 Absatz 1 zwei Jahre Freiheitsentzug.</w:t>
      </w:r>
    </w:p>
    <w:p>
      <w:r>
        <w:t xml:space="preserve">(4) Sieht das im Geltungsbereich dieses Gesetzes geltende Recht Sanktionen, die der im ausländischen Staat verhängten Sanktion ihrer Art nach entsprechen, nicht vor, so ist die Vollstreckung nicht zulässig.</w:t>
      </w:r>
    </w:p>
    <w:p>
      <w:r>
        <w:t xml:space="preserve">(5) Soweit in der ausländischen Anordnung der Einziehung eine Entscheidung hinsichtlich der Rechte Dritter getroffen wurde, so ist diese bindend, es sei denn,</w:t>
      </w:r>
    </w:p>
    <w:p>
      <w:pPr>
        <w:ind w:left="420"/>
      </w:pPr>
      <w:r>
        <w:t xml:space="preserve">a) dem Dritten wurde keine ausreichende Gelegenheit gegeben, seine Rechte geltend zu machen, oder</w:t>
      </w:r>
    </w:p>
    <w:p>
      <w:pPr>
        <w:ind w:left="420"/>
      </w:pPr>
      <w:r>
        <w:t xml:space="preserve">b) die Entscheidung ist unvereinbar mit einer im Geltungsbereich dieses Gesetzes getroffenen zivilrechtlichen Entscheidung in derselben Sache, oder</w:t>
      </w:r>
    </w:p>
    <w:p>
      <w:pPr>
        <w:ind w:left="420"/>
      </w:pPr>
      <w:r>
        <w:t xml:space="preserve">c) die Entscheidung bezieht sich auf Rechte Dritter an einem im Bundesgebiet belegenen Grundstück oder Grundstücksrecht; zu den Rechten Dritter gehören auch Vormerkungen.</w:t>
      </w:r>
    </w:p>
    <w:p>
      <w:r>
        <w:t xml:space="preserve">(6) Der Entzug oder die Aussetzung eines Rechts, ein Verbot sowie der Verlust einer Fähigkeit werden auf den Geltungsbereich dieses Gesetzes erstreckt, wenn eine nach Artikel 59 Abs. 2 des Grundgesetzes durch Gesetz gebilligte völkerrechtliche Vereinbarung dies vorsieht.</w:t>
      </w:r>
    </w:p>
    <w:p>
      <w:r>
        <w:rPr>
          <w:color w:val="555555"/>
          <w:sz w:val="17"/>
        </w:rPr>
        <w:t xml:space="preserve">Zitiervorschlag: § 49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