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IRG — Anrufung des Bundesgerichtshofes</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Hält das Oberlandesgericht eine Entscheidung des Bundesgerichtshofes für geboten, um eine Rechtsfrage von grundsätzlicher Bedeutung zu klären, oder will es von einer Entscheidung des Bundesgerichtshofes oder einer nach dem Inkrafttreten dieses Gesetzes ergangenen Entscheidung eines anderen Oberlandesgerichts über eine Rechtsfrage in Auslieferungssachen abweichen, so begründet es seine Auffassung und holt die Entscheidung des Bundesgerichtshofes über die Rechtsfrage ein.</w:t>
      </w:r>
    </w:p>
    <w:p>
      <w:r>
        <w:t xml:space="preserve">(2) Die Entscheidung des Bundesgerichtshofes wird auch eingeholt, wenn der Generalbundesanwalt oder die Staatsanwaltschaft bei dem Oberlandesgericht dies zur Klärung einer Rechtsfrage beantragt.</w:t>
      </w:r>
    </w:p>
    <w:p>
      <w:r>
        <w:t xml:space="preserve">(3) Der Bundesgerichtshof gibt dem Verfolgten Gelegenheit zur Äußerung. Die Entscheidung ergeht ohne mündliche Verhandlung.</w:t>
      </w:r>
    </w:p>
    <w:p>
      <w:r>
        <w:rPr>
          <w:color w:val="555555"/>
          <w:sz w:val="17"/>
        </w:rPr>
        <w:t xml:space="preserve">Zitiervorschlag: § 42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