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IRG — Akzessorische Auslieferung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Auslieferung zulässig, so ist sie wegen einer weiteren Tat auch dann zulässig, wenn für diese</w:t>
      </w:r>
    </w:p>
    <w:p>
      <w:pPr>
        <w:ind w:left="420"/>
      </w:pPr>
      <w:r>
        <w:t xml:space="preserve">1. die Voraussetzungen des § 3 Abs. 2 oder 3 nicht vorliegen oder</w:t>
      </w:r>
    </w:p>
    <w:p>
      <w:pPr>
        <w:ind w:left="420"/>
      </w:pPr>
      <w:r>
        <w:t xml:space="preserve">2. die Voraussetzungen des § 2 oder des § 3 Abs. 1 deshalb nicht vorliegen, weil die weitere Tat nur mit einer Sanktion im Sinne des § 1 Abs. 2 bedroht ist.</w:t>
      </w:r>
    </w:p>
    <w:p>
      <w:r>
        <w:rPr>
          <w:color w:val="555555"/>
          <w:sz w:val="17"/>
        </w:rPr>
        <w:t xml:space="preserve">Zitiervorschlag: § 4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