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IRG — Beschlagnahme und Durchsuchung</w:t>
      </w:r>
    </w:p>
    <w:p>
      <w:r>
        <w:rPr>
          <w:color w:val="555555"/>
          <w:sz w:val="18"/>
        </w:rPr>
        <w:t xml:space="preserve">Gesetz über die internationale Rechtshilfe in Strafsachen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Gegenstände, deren Herausgabe an einen ausländischen Staat in Betracht kommt, können, auch schon vor Eingang des Auslieferungsersuchens, beschlagnahmt oder sonst sichergestellt werden. Zu diesem Zweck kann auch eine Durchsuchung vorgenommen werden.</w:t>
      </w:r>
    </w:p>
    <w:p>
      <w:r>
        <w:t xml:space="preserve">(2) Ist noch kein Oberlandesgericht mit dem Auslieferungsverfahren befaßt, so werden die Beschlagnahme und die Durchsuchung zunächst von dem Amtsgericht angeordnet, in dessen Bezirk die Handlungen vorzunehmen sind.</w:t>
      </w:r>
    </w:p>
    <w:p>
      <w:r>
        <w:t xml:space="preserve">(3) Bei Gefahr im Verzug sind die Staatsanwaltschaft und ihre Ermittlungspersonen (§ 152 des Gerichtsverfassungsgesetzes) befugt, die Beschlagnahme und die Durchsuchung anzuordnen.</w:t>
      </w:r>
    </w:p>
    <w:p>
      <w:r>
        <w:rPr>
          <w:color w:val="555555"/>
          <w:sz w:val="17"/>
        </w:rPr>
        <w:t xml:space="preserve">Zitiervorschlag: § 39 IRG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