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IRG — Weiterlieferung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Ist die Auslieferung durchgeführt und ersucht eine zuständige Stelle eines ausländischen Staates wegen der Tat, derentwegen die Auslieferung bewilligt worden ist, oder wegen einer weiteren Tat um Zustimmung zur Weiterlieferung, zur Überstellung des Ausgelieferten zum Zweck der Vollstreckung einer Strafe oder einer sonstigen Sanktion oder zur Abschiebung, so gilt § 35 Abs. 1 Satz 1, Abs. 2 entsprechend mit der Maßgabe, daß wegen der Tat die Auslieferung an den Staat, an den der Ausgelieferte weitergeliefert oder überstellt werden soll, zulässig sein müßte.</w:t>
      </w:r>
    </w:p>
    <w:p>
      <w:r>
        <w:t xml:space="preserve">(2) Ist die Auslieferung noch nicht durchgeführt, so kann auf ein Ersuchen der in Absatz 1 bezeichneten Art die Zustimmung erteilt werden, wenn wegen der Tat die Auslieferung an den Staat, an den der Ausgelieferte weitergeliefert oder überstellt werden soll, zulässig wäre. Für das Verfahren gelten die §§ 28 bis 33 entsprechend.</w:t>
      </w:r>
    </w:p>
    <w:p>
      <w:r>
        <w:rPr>
          <w:color w:val="555555"/>
          <w:sz w:val="17"/>
        </w:rPr>
        <w:t xml:space="preserve">Zitiervorschlag: § 36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