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IRG — Durchführung der mündlichen Verhandlung</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Von Ort und Zeit der mündlichen Verhandlung sind die Staatsanwaltschaft bei dem Oberlandesgericht, der Verfolgte und sein Rechtsbeistand (§ 40) zu benachrichtigen. Bei der mündlichen Verhandlung muß ein Vertreter der Staatsanwaltschaft bei dem Oberlandesgericht anwesend sein.</w:t>
      </w:r>
    </w:p>
    <w:p>
      <w:r>
        <w:t xml:space="preserve">(2) Befindet sich der Verfolgte in Haft, so ist er vorzuführen, es sei denn, daß er auf die Anwesenheit in der Verhandlung verzichtet hat oder daß der Vorführung weite Entfernung, Krankheit oder andere nicht zu beseitigende Hindernisse entgegenstehen. Wird der Verfolgte zur mündlichen Verhandlung nicht vorgeführt, so muß ein Rechtsbeistand (§ 40) seine Rechte in der Verhandlung wahrnehmen. In diesem Fall ist ihm für die mündliche Verhandlung ein Rechtsanwalt als Rechtsbeistand zu bestellen, wenn er noch keinen Rechtsbeistand hat.</w:t>
      </w:r>
    </w:p>
    <w:p>
      <w:r>
        <w:t xml:space="preserve">(3) Befindet sich der Verfolgte auf freiem Fuß, so kann das Oberlandesgericht sein persönliches Erscheinen anordnen. Erscheint der ordnungsgemäß geladene Verfolgte nicht und ist sein Fernbleiben nicht genügend entschuldigt, so kann das Oberlandesgericht die Vorführung anordnen.</w:t>
      </w:r>
    </w:p>
    <w:p>
      <w:r>
        <w:t xml:space="preserve">(4) In der mündlichen Verhandlung sind die anwesenden Beteiligten zu hören. Über die Verhandlung ist ein Protokoll aufzunehmen.</w:t>
      </w:r>
    </w:p>
    <w:p>
      <w:r>
        <w:rPr>
          <w:color w:val="555555"/>
          <w:sz w:val="17"/>
        </w:rPr>
        <w:t xml:space="preserve">Zitiervorschlag: § 31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